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eastAsia="方正小标宋_GBK"/>
          <w:sz w:val="44"/>
          <w:szCs w:val="44"/>
        </w:rPr>
      </w:pPr>
      <w:r>
        <w:rPr>
          <w:rFonts w:hint="eastAsia" w:ascii="方正小标宋_GBK" w:eastAsia="方正小标宋_GBK"/>
          <w:sz w:val="44"/>
          <w:szCs w:val="44"/>
        </w:rPr>
        <w:t>重庆市涪陵区财政局（本级）</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eastAsia="方正小标宋_GBK"/>
          <w:sz w:val="44"/>
          <w:szCs w:val="44"/>
        </w:rPr>
      </w:pPr>
      <w:r>
        <w:rPr>
          <w:rFonts w:hint="eastAsia" w:ascii="方正小标宋_GBK" w:eastAsia="方正小标宋_GBK"/>
          <w:sz w:val="44"/>
          <w:szCs w:val="44"/>
        </w:rPr>
        <w:t>2026年单位预算情况说明</w:t>
      </w:r>
    </w:p>
    <w:p>
      <w:pPr>
        <w:ind w:firstLine="640" w:firstLineChars="200"/>
        <w:rPr>
          <w:rFonts w:ascii="方正楷体_GBK" w:eastAsia="方正楷体_GBK"/>
          <w:sz w:val="32"/>
          <w:szCs w:val="32"/>
        </w:rPr>
      </w:pPr>
    </w:p>
    <w:p>
      <w:pPr>
        <w:ind w:firstLine="640" w:firstLineChars="200"/>
        <w:rPr>
          <w:rFonts w:ascii="方正黑体_GBK" w:eastAsia="方正黑体_GBK"/>
          <w:sz w:val="32"/>
          <w:szCs w:val="32"/>
        </w:rPr>
      </w:pPr>
      <w:r>
        <w:rPr>
          <w:rFonts w:hint="eastAsia" w:ascii="方正黑体_GBK" w:eastAsia="方正黑体_GBK"/>
          <w:sz w:val="32"/>
          <w:szCs w:val="32"/>
        </w:rPr>
        <w:t>一、单位基本情况</w:t>
      </w:r>
      <w:bookmarkStart w:id="0" w:name="_GoBack"/>
      <w:bookmarkEnd w:id="0"/>
    </w:p>
    <w:p>
      <w:pPr>
        <w:ind w:firstLine="640" w:firstLineChars="200"/>
        <w:rPr>
          <w:rFonts w:ascii="方正楷体_GBK" w:eastAsia="方正楷体_GBK"/>
          <w:sz w:val="32"/>
          <w:szCs w:val="32"/>
        </w:rPr>
      </w:pPr>
      <w:r>
        <w:rPr>
          <w:rFonts w:hint="eastAsia" w:ascii="方正楷体_GBK" w:eastAsia="方正楷体_GBK"/>
          <w:sz w:val="32"/>
          <w:szCs w:val="32"/>
        </w:rPr>
        <w:t>（一）职能职责。</w:t>
      </w:r>
    </w:p>
    <w:p>
      <w:pPr>
        <w:ind w:firstLine="640" w:firstLineChars="200"/>
        <w:rPr>
          <w:rFonts w:ascii="方正仿宋_GBK" w:eastAsia="方正仿宋_GBK"/>
          <w:sz w:val="32"/>
          <w:szCs w:val="32"/>
        </w:rPr>
      </w:pPr>
      <w:r>
        <w:rPr>
          <w:rFonts w:hint="eastAsia" w:ascii="方正仿宋_GBK" w:eastAsia="方正仿宋_GBK"/>
          <w:sz w:val="32"/>
          <w:szCs w:val="32"/>
        </w:rPr>
        <w:t>贯彻执行财税法律、法规、规章和方针政策。起草全区财政、行政事业单位资产、财务、会计方面的具体办法并组织实施。拟订和执行财政分配政策和分级财政管理体制，拟订全区财政发展战略和中长期规划，指导全区财政工作。分析预测宏观经济形势，参与拟定全区宏观经济政策，提出运用财税政策实施宏观经济调节的建议。管理全区财政收支，承担区级各项财政收支管理的责任。负责编制区级年度预决算草案，组织执行区级年度预算。负责政府非税收入管理，组织执行国库管理制度、国库集中收付制度；组织实施政府采购制度；组织执行行政事业单位国有资产管理规章制度；会同有关单位管理财政社会保障和就业及医疗卫生支出；负责办理和监督区级财政的经济发展支出、负责财政投资评审管理工作；执行政府债务管理的制度和政策；负责管理全区会计工作；监督检查财税法律、法规、政策的执行情况；承办区委、区政府交办的其他事项。</w:t>
      </w:r>
    </w:p>
    <w:p>
      <w:pPr>
        <w:ind w:firstLine="640" w:firstLineChars="200"/>
        <w:rPr>
          <w:rFonts w:ascii="方正楷体_GBK" w:eastAsia="方正楷体_GBK"/>
          <w:sz w:val="32"/>
          <w:szCs w:val="32"/>
        </w:rPr>
      </w:pPr>
      <w:r>
        <w:rPr>
          <w:rFonts w:hint="eastAsia" w:ascii="方正楷体_GBK" w:eastAsia="方正楷体_GBK"/>
          <w:sz w:val="32"/>
          <w:szCs w:val="32"/>
        </w:rPr>
        <w:t>（二）单位构成</w:t>
      </w:r>
    </w:p>
    <w:p>
      <w:pPr>
        <w:ind w:firstLine="640" w:firstLineChars="200"/>
        <w:rPr>
          <w:rFonts w:ascii="方正仿宋_GBK" w:eastAsia="方正仿宋_GBK"/>
          <w:sz w:val="32"/>
          <w:szCs w:val="32"/>
        </w:rPr>
      </w:pPr>
      <w:r>
        <w:rPr>
          <w:rFonts w:hint="eastAsia" w:ascii="方正仿宋_GBK" w:eastAsia="方正仿宋_GBK"/>
          <w:sz w:val="32"/>
          <w:szCs w:val="32"/>
        </w:rPr>
        <w:t>涪陵区财政局（本级）内设办公室、预算科、国库科、社会保障科、农业科、经济建设科、政府债务管理科、税政科、行政政法科、教科文科、产业发展科、政府采购办公室、监督检查科、财经科、非税科、组织人事教育科、离退休人员管理科、行政事业单位国有资产管理科、乡镇财政管理科19个职能科室。</w:t>
      </w:r>
    </w:p>
    <w:p>
      <w:pPr>
        <w:ind w:firstLine="640" w:firstLineChars="200"/>
        <w:rPr>
          <w:rFonts w:ascii="方正黑体_GBK" w:eastAsia="方正黑体_GBK"/>
          <w:sz w:val="32"/>
          <w:szCs w:val="32"/>
        </w:rPr>
      </w:pPr>
      <w:r>
        <w:rPr>
          <w:rFonts w:hint="eastAsia" w:ascii="方正黑体_GBK" w:eastAsia="方正黑体_GBK"/>
          <w:sz w:val="32"/>
          <w:szCs w:val="32"/>
        </w:rPr>
        <w:t>二、单位收支总体情况</w:t>
      </w:r>
    </w:p>
    <w:p>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2026年年初预算数1992.16万元，其中：一般公共预算拨款1992.16万元，政府性基金预算拨款 0万元，国有资本经营预算收入0万元，财政专户管理资金收入0万元，上级补助收入0万元，附属单位上缴收入0万元，事业收入0万元，事业单位经营收入0万元，其他收入0万元。收入较去年减少75.78万元，主要是一般公共预算拨款减少75.78万元，财政专户管理资金收入增加0万元。</w:t>
      </w:r>
    </w:p>
    <w:p>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2026年年初预算数1992.16万元，其中：一般公共服务支出1615.33万元，教育支出0万元，社会保障和就业支出180.7万元，卫生健康支出99.33万元，住房保障支出96.81万元。支出较去年减少75.78万元，主要是基本支出增加40.29万元，项目支出减少116.07万元。</w:t>
      </w:r>
    </w:p>
    <w:p>
      <w:pPr>
        <w:ind w:firstLine="640" w:firstLineChars="200"/>
        <w:rPr>
          <w:rFonts w:ascii="方正黑体_GBK" w:eastAsia="方正黑体_GBK"/>
          <w:sz w:val="32"/>
          <w:szCs w:val="32"/>
        </w:rPr>
      </w:pPr>
      <w:r>
        <w:rPr>
          <w:rFonts w:hint="eastAsia" w:ascii="方正黑体_GBK" w:eastAsia="方正黑体_GBK"/>
          <w:sz w:val="32"/>
          <w:szCs w:val="32"/>
        </w:rPr>
        <w:t>三、单位预算情况说明</w:t>
      </w:r>
    </w:p>
    <w:p>
      <w:pPr>
        <w:ind w:firstLine="640" w:firstLineChars="200"/>
        <w:rPr>
          <w:rFonts w:ascii="方正仿宋_GBK" w:eastAsia="方正仿宋_GBK"/>
          <w:sz w:val="32"/>
          <w:szCs w:val="32"/>
        </w:rPr>
      </w:pPr>
      <w:r>
        <w:rPr>
          <w:rFonts w:hint="eastAsia" w:ascii="方正仿宋_GBK" w:eastAsia="方正仿宋_GBK"/>
          <w:sz w:val="32"/>
          <w:szCs w:val="32"/>
        </w:rPr>
        <w:t>2026年一般公共预算财政拨款收入1992.16万元，一般公共预算财政拨款支出1992.16万元，比2025年减少75.78万元。其中：基本支出1418.16万元，比2026年增加40.29万元，主要原因是人员较上年度增加，主要用于保障在职人员社保、公积金缴纳，离休人员离休费，退休人员补助等，保障部门正常运转的各项商品服务支出；项目支出574万元，比2025减少116.07万元，主要原因是按照“过紧日子”要求对项目经费进行了总体压减，主要用于信息系统建设维护、基层财政干部培训、行政事业单位国有资产监督管理、预决算管理等重点工作。本单位2026年无使用政府性基金预算拨款安排的支出，与上年持平。</w:t>
      </w:r>
    </w:p>
    <w:p>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pPr>
        <w:ind w:firstLine="640" w:firstLineChars="200"/>
        <w:rPr>
          <w:rFonts w:ascii="方正仿宋_GBK" w:eastAsia="方正仿宋_GBK"/>
          <w:sz w:val="32"/>
          <w:szCs w:val="32"/>
        </w:rPr>
      </w:pPr>
      <w:r>
        <w:rPr>
          <w:rFonts w:hint="eastAsia" w:ascii="方正仿宋_GBK" w:eastAsia="方正仿宋_GBK"/>
          <w:sz w:val="32"/>
          <w:szCs w:val="32"/>
        </w:rPr>
        <w:t>2026年“三公”经费预算15万元，比2025年减少8万元。其中：因公出国（境）费用0万元，与上年持平，主要原因是本单位无因公出国（境）；公务接待费6万元，比2025年减少7万元，主要原因是认真贯彻落实中央八项规定精神，按照要求从严控制“三公”经费，强化公务接待支出管理，严格遵守公务接待开支范围和开支标准；公务用车运行维护费9万元，比2025年减少1万元，主要原因是认真贯彻落实中央八项规定精神，按照要求从严控制“三公”经费，强化公务用车支出管理，严格遵守公务用车开支范围和开支标准；公务用车购置费0万元，与上年持平，主要原因是本单位未安排购置车辆。</w:t>
      </w:r>
    </w:p>
    <w:p>
      <w:pPr>
        <w:ind w:firstLine="640" w:firstLineChars="200"/>
        <w:rPr>
          <w:rFonts w:ascii="方正黑体_GBK" w:eastAsia="方正黑体_GBK"/>
          <w:sz w:val="32"/>
          <w:szCs w:val="32"/>
        </w:rPr>
      </w:pPr>
      <w:r>
        <w:rPr>
          <w:rFonts w:hint="eastAsia" w:ascii="方正黑体_GBK" w:eastAsia="方正黑体_GBK"/>
          <w:sz w:val="32"/>
          <w:szCs w:val="32"/>
        </w:rPr>
        <w:t>五、其他重要事项的情况说明</w:t>
      </w:r>
    </w:p>
    <w:p>
      <w:pPr>
        <w:ind w:firstLine="640" w:firstLineChars="200"/>
        <w:rPr>
          <w:rFonts w:ascii="方正仿宋_GBK" w:eastAsia="方正仿宋_GBK"/>
          <w:sz w:val="32"/>
          <w:szCs w:val="32"/>
        </w:rPr>
      </w:pPr>
      <w:r>
        <w:rPr>
          <w:rFonts w:hint="eastAsia" w:ascii="方正楷体_GBK" w:eastAsia="方正楷体_GBK"/>
          <w:sz w:val="32"/>
          <w:szCs w:val="32"/>
        </w:rPr>
        <w:t>（一）机关运行经费。</w:t>
      </w:r>
      <w:r>
        <w:rPr>
          <w:rFonts w:hint="eastAsia" w:ascii="方正仿宋_GBK" w:eastAsia="方正仿宋_GBK"/>
          <w:sz w:val="32"/>
          <w:szCs w:val="32"/>
        </w:rPr>
        <w:t>2026年一般公共预算财政拨款运行经费229.16万元，比上年减少0.17万元，主要原因是按照“过紧日子”要求厉行节约；主要用于办公费、印刷费、邮电费、水电费、物管费、差旅费、会议费、培训费及其他商品和服务支出等。</w:t>
      </w:r>
    </w:p>
    <w:p>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4万元：政府采购货物预算4万元、政府采购工程预算0万元、政府采购服务预算0万元；其中一般公共预算拨款政府采购4万元：政府采购货物预算4万元、政府采购工程预算0万元、政府采购服务预算0万元。</w:t>
      </w:r>
    </w:p>
    <w:p>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2026年项目支出均实行了绩效目标管理，涉及一般公共预算当年财政拨款574万元。</w:t>
      </w:r>
    </w:p>
    <w:p>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截至上年12月，所属各预算单位共有车辆3辆，其中一般公务用车3辆、执勤执法用车0辆。2026年一般公共预算未安排购置车辆。</w:t>
      </w:r>
    </w:p>
    <w:p>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pPr>
        <w:ind w:firstLine="640" w:firstLineChars="200"/>
        <w:rPr>
          <w:rFonts w:ascii="方正黑体_GBK" w:eastAsia="方正黑体_GBK"/>
          <w:sz w:val="32"/>
          <w:szCs w:val="32"/>
        </w:rPr>
      </w:pPr>
      <w:r>
        <w:rPr>
          <w:rFonts w:hint="eastAsia" w:ascii="方正黑体_GBK" w:eastAsia="方正黑体_GBK"/>
          <w:sz w:val="32"/>
          <w:szCs w:val="32"/>
        </w:rPr>
        <w:t>六、专业性名词解释</w:t>
      </w:r>
    </w:p>
    <w:p>
      <w:pPr>
        <w:ind w:firstLine="640" w:firstLineChars="200"/>
        <w:rPr>
          <w:rFonts w:ascii="方正仿宋_GBK" w:eastAsia="方正仿宋_GBK"/>
          <w:sz w:val="32"/>
          <w:szCs w:val="32"/>
        </w:rPr>
      </w:pPr>
      <w:r>
        <w:rPr>
          <w:rFonts w:hint="eastAsia" w:ascii="方正仿宋_GBK" w:eastAsia="方正仿宋_GBK"/>
          <w:sz w:val="32"/>
          <w:szCs w:val="32"/>
        </w:rPr>
        <w:t>（以下为常见专业名词解释，单位应根据实际情况进行解释和增减。）</w:t>
      </w:r>
    </w:p>
    <w:p>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pPr>
        <w:ind w:firstLine="640" w:firstLineChars="200"/>
        <w:rPr>
          <w:rFonts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rPr>
          <w:rFonts w:ascii="方正仿宋_GBK" w:eastAsia="方正仿宋_GBK"/>
          <w:sz w:val="32"/>
          <w:szCs w:val="32"/>
        </w:rPr>
      </w:pPr>
    </w:p>
    <w:p>
      <w:pPr>
        <w:rPr>
          <w:rFonts w:ascii="方正仿宋_GBK" w:eastAsia="方正仿宋_GBK"/>
          <w:color w:val="000000" w:themeColor="text1"/>
          <w:sz w:val="32"/>
          <w:szCs w:val="32"/>
        </w:rPr>
      </w:pPr>
      <w:r>
        <w:rPr>
          <w:rFonts w:hint="eastAsia" w:ascii="方正仿宋_GBK" w:eastAsia="方正仿宋_GBK"/>
          <w:color w:val="000000" w:themeColor="text1"/>
          <w:sz w:val="32"/>
          <w:szCs w:val="32"/>
        </w:rPr>
        <w:t>单位预算公开联系人：张玲    联系方式：023-72235053</w:t>
      </w:r>
    </w:p>
    <w:p>
      <w:pPr>
        <w:rPr>
          <w:rFonts w:ascii="方正仿宋_GBK" w:eastAsia="方正仿宋_GBK"/>
          <w:b/>
          <w:color w:val="FF0000"/>
          <w:sz w:val="32"/>
          <w:szCs w:val="32"/>
        </w:rPr>
      </w:pPr>
    </w:p>
    <w:p>
      <w:pPr>
        <w:rPr>
          <w:rFonts w:ascii="方正仿宋_GBK" w:eastAsia="方正仿宋_GBK"/>
          <w:b/>
          <w:color w:val="FF0000"/>
          <w:sz w:val="32"/>
          <w:szCs w:val="32"/>
        </w:rPr>
      </w:pPr>
    </w:p>
    <w:p>
      <w:pPr>
        <w:rPr>
          <w:rFonts w:ascii="方正仿宋_GBK" w:eastAsia="方正仿宋_GBK"/>
          <w:color w:val="000000" w:themeColor="text1"/>
          <w:sz w:val="32"/>
          <w:szCs w:val="32"/>
        </w:rPr>
      </w:pPr>
      <w:r>
        <w:rPr>
          <w:rFonts w:hint="eastAsia" w:ascii="方正仿宋_GBK" w:eastAsia="方正仿宋_GBK"/>
          <w:color w:val="000000" w:themeColor="text1"/>
          <w:sz w:val="32"/>
          <w:szCs w:val="32"/>
        </w:rPr>
        <w:t>附件：2026年重庆市涪陵区财政局（本级）预算附表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F3EA7"/>
    <w:rsid w:val="00000237"/>
    <w:rsid w:val="000D539B"/>
    <w:rsid w:val="000D5FDC"/>
    <w:rsid w:val="000E7F11"/>
    <w:rsid w:val="00176C02"/>
    <w:rsid w:val="0018797B"/>
    <w:rsid w:val="001C2D4C"/>
    <w:rsid w:val="001E436B"/>
    <w:rsid w:val="00287775"/>
    <w:rsid w:val="002C7F60"/>
    <w:rsid w:val="002F3EA7"/>
    <w:rsid w:val="00332087"/>
    <w:rsid w:val="0039373B"/>
    <w:rsid w:val="003D1928"/>
    <w:rsid w:val="0047472E"/>
    <w:rsid w:val="004F0D77"/>
    <w:rsid w:val="00506EAF"/>
    <w:rsid w:val="0054068B"/>
    <w:rsid w:val="005D5BEB"/>
    <w:rsid w:val="006546F6"/>
    <w:rsid w:val="00656CD2"/>
    <w:rsid w:val="006D3B14"/>
    <w:rsid w:val="006E5D45"/>
    <w:rsid w:val="00780CEB"/>
    <w:rsid w:val="007819AF"/>
    <w:rsid w:val="007B637E"/>
    <w:rsid w:val="007F458D"/>
    <w:rsid w:val="00897F6B"/>
    <w:rsid w:val="00916EE2"/>
    <w:rsid w:val="009728FC"/>
    <w:rsid w:val="009C7052"/>
    <w:rsid w:val="009C74D1"/>
    <w:rsid w:val="00A12661"/>
    <w:rsid w:val="00A52889"/>
    <w:rsid w:val="00A7410A"/>
    <w:rsid w:val="00AB11F3"/>
    <w:rsid w:val="00AC3583"/>
    <w:rsid w:val="00B17552"/>
    <w:rsid w:val="00B4119A"/>
    <w:rsid w:val="00B613C4"/>
    <w:rsid w:val="00C62743"/>
    <w:rsid w:val="00C96040"/>
    <w:rsid w:val="00CC6C50"/>
    <w:rsid w:val="00D614AA"/>
    <w:rsid w:val="00D909DB"/>
    <w:rsid w:val="00F016CC"/>
    <w:rsid w:val="00F47993"/>
    <w:rsid w:val="00F53A30"/>
    <w:rsid w:val="00F810B7"/>
    <w:rsid w:val="00FA2853"/>
    <w:rsid w:val="00FB00F0"/>
    <w:rsid w:val="65EE2EC1"/>
    <w:rsid w:val="6D415A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 w:type="paragraph" w:customStyle="1" w:styleId="8">
    <w:name w:val="Style10"/>
    <w:basedOn w:val="1"/>
    <w:qFormat/>
    <w:uiPriority w:val="0"/>
    <w:pPr>
      <w:adjustRightInd w:val="0"/>
      <w:jc w:val="left"/>
    </w:pPr>
    <w:rPr>
      <w:rFonts w:ascii="Arial" w:hAnsi="Arial" w:eastAsia="宋体" w:cs="Arial"/>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403</Words>
  <Characters>2300</Characters>
  <Lines>19</Lines>
  <Paragraphs>5</Paragraphs>
  <TotalTime>88</TotalTime>
  <ScaleCrop>false</ScaleCrop>
  <LinksUpToDate>false</LinksUpToDate>
  <CharactersWithSpaces>2698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2023-01-31T09:19:00Z</dcterms:created>
  <dc:creator>User</dc:creator>
  <cp:lastModifiedBy>Administrator</cp:lastModifiedBy>
  <cp:lastPrinted>2026-03-11T08:55:00Z</cp:lastPrinted>
  <dcterms:modified xsi:type="dcterms:W3CDTF">2026-03-16T01:15:44Z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