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201C1">
      <w:pPr>
        <w:pStyle w:val="2"/>
        <w:keepNext w:val="0"/>
        <w:keepLines w:val="0"/>
        <w:widowControl/>
        <w:suppressLineNumbers w:val="0"/>
        <w:jc w:val="center"/>
        <w:rPr>
          <w:rFonts w:hint="eastAsia" w:ascii="方正小标宋_GBK" w:hAnsi="方正小标宋_GBK" w:eastAsia="方正小标宋_GBK" w:cs="方正小标宋_GBK"/>
          <w:b w:val="0"/>
          <w:bCs w:val="0"/>
          <w:spacing w:val="-34"/>
          <w:sz w:val="44"/>
          <w:szCs w:val="44"/>
        </w:rPr>
      </w:pPr>
      <w:bookmarkStart w:id="0" w:name="_GoBack"/>
      <w:r>
        <w:rPr>
          <w:rFonts w:hint="eastAsia" w:ascii="方正小标宋_GBK" w:hAnsi="方正小标宋_GBK" w:eastAsia="方正小标宋_GBK" w:cs="方正小标宋_GBK"/>
          <w:b w:val="0"/>
          <w:bCs w:val="0"/>
          <w:spacing w:val="-34"/>
          <w:sz w:val="44"/>
          <w:szCs w:val="44"/>
        </w:rPr>
        <w:t>涪陵区入河排污口规范化建设工程投诉处理决定书</w:t>
      </w:r>
    </w:p>
    <w:bookmarkEnd w:id="0"/>
    <w:p w14:paraId="732BF159">
      <w:pPr>
        <w:pStyle w:val="3"/>
        <w:keepNext w:val="0"/>
        <w:keepLines w:val="0"/>
        <w:widowControl/>
        <w:suppressLineNumbers w:val="0"/>
        <w:jc w:val="center"/>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涪财采投〔</w:t>
      </w:r>
      <w:r>
        <w:rPr>
          <w:rFonts w:hint="eastAsia" w:ascii="Times New Roman" w:hAnsi="Times New Roman" w:eastAsia="方正楷体_GBK" w:cs="方正楷体_GBK"/>
          <w:b w:val="0"/>
          <w:bCs w:val="0"/>
          <w:sz w:val="32"/>
          <w:szCs w:val="32"/>
        </w:rPr>
        <w:t>2025</w:t>
      </w:r>
      <w:r>
        <w:rPr>
          <w:rFonts w:hint="eastAsia" w:ascii="方正楷体_GBK" w:hAnsi="方正楷体_GBK" w:eastAsia="方正楷体_GBK" w:cs="方正楷体_GBK"/>
          <w:b w:val="0"/>
          <w:bCs w:val="0"/>
          <w:sz w:val="32"/>
          <w:szCs w:val="32"/>
        </w:rPr>
        <w:t>〕</w:t>
      </w:r>
      <w:r>
        <w:rPr>
          <w:rFonts w:hint="eastAsia" w:ascii="Times New Roman" w:hAnsi="Times New Roman" w:eastAsia="方正楷体_GBK" w:cs="方正楷体_GBK"/>
          <w:b w:val="0"/>
          <w:bCs w:val="0"/>
          <w:sz w:val="32"/>
          <w:szCs w:val="32"/>
        </w:rPr>
        <w:t>58</w:t>
      </w:r>
      <w:r>
        <w:rPr>
          <w:rFonts w:hint="eastAsia" w:ascii="方正楷体_GBK" w:hAnsi="方正楷体_GBK" w:eastAsia="方正楷体_GBK" w:cs="方正楷体_GBK"/>
          <w:b w:val="0"/>
          <w:bCs w:val="0"/>
          <w:sz w:val="32"/>
          <w:szCs w:val="32"/>
        </w:rPr>
        <w:t>号</w:t>
      </w:r>
    </w:p>
    <w:p w14:paraId="1B6B9DE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根据《政府采购信息发布管理办法》（财政部令第</w:t>
      </w:r>
      <w:r>
        <w:rPr>
          <w:rFonts w:hint="eastAsia" w:ascii="Times New Roman" w:hAnsi="Times New Roman" w:eastAsia="方正仿宋_GBK" w:cs="方正仿宋_GBK"/>
          <w:sz w:val="32"/>
          <w:szCs w:val="32"/>
        </w:rPr>
        <w:t>101</w:t>
      </w:r>
      <w:r>
        <w:rPr>
          <w:rFonts w:hint="eastAsia" w:ascii="方正仿宋_GBK" w:hAnsi="方正仿宋_GBK" w:eastAsia="方正仿宋_GBK" w:cs="方正仿宋_GBK"/>
          <w:sz w:val="32"/>
          <w:szCs w:val="32"/>
        </w:rPr>
        <w:t>号）的相关规定，现本机关对“涪陵区入河排污口规范化建设工程”（项目号：FLQ</w:t>
      </w:r>
      <w:r>
        <w:rPr>
          <w:rFonts w:hint="eastAsia" w:ascii="Times New Roman" w:hAnsi="Times New Roman" w:eastAsia="方正仿宋_GBK" w:cs="方正仿宋_GBK"/>
          <w:sz w:val="32"/>
          <w:szCs w:val="32"/>
        </w:rPr>
        <w:t>25</w:t>
      </w:r>
      <w:r>
        <w:rPr>
          <w:rFonts w:hint="eastAsia" w:ascii="方正仿宋_GBK" w:hAnsi="方正仿宋_GBK" w:eastAsia="方正仿宋_GBK" w:cs="方正仿宋_GBK"/>
          <w:sz w:val="32"/>
          <w:szCs w:val="32"/>
        </w:rPr>
        <w:t>C</w:t>
      </w:r>
      <w:r>
        <w:rPr>
          <w:rFonts w:hint="eastAsia" w:ascii="Times New Roman" w:hAnsi="Times New Roman" w:eastAsia="方正仿宋_GBK" w:cs="方正仿宋_GBK"/>
          <w:sz w:val="32"/>
          <w:szCs w:val="32"/>
        </w:rPr>
        <w:t>00051</w:t>
      </w:r>
      <w:r>
        <w:rPr>
          <w:rFonts w:hint="eastAsia" w:ascii="方正仿宋_GBK" w:hAnsi="方正仿宋_GBK" w:eastAsia="方正仿宋_GBK" w:cs="方正仿宋_GBK"/>
          <w:sz w:val="32"/>
          <w:szCs w:val="32"/>
        </w:rPr>
        <w:t>）作出的投诉处理决定公告如下：</w:t>
      </w:r>
    </w:p>
    <w:p w14:paraId="71B4A44C">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val="0"/>
          <w:sz w:val="32"/>
          <w:szCs w:val="32"/>
        </w:rPr>
        <w:t>一、项目编号</w:t>
      </w:r>
      <w:r>
        <w:rPr>
          <w:rFonts w:hint="eastAsia" w:ascii="方正仿宋_GBK" w:hAnsi="方正仿宋_GBK" w:eastAsia="方正仿宋_GBK" w:cs="方正仿宋_GBK"/>
          <w:sz w:val="32"/>
          <w:szCs w:val="32"/>
        </w:rPr>
        <w:t>：FLQ</w:t>
      </w:r>
      <w:r>
        <w:rPr>
          <w:rFonts w:hint="eastAsia" w:ascii="Times New Roman" w:hAnsi="Times New Roman" w:eastAsia="方正仿宋_GBK" w:cs="方正仿宋_GBK"/>
          <w:sz w:val="32"/>
          <w:szCs w:val="32"/>
        </w:rPr>
        <w:t>25</w:t>
      </w:r>
      <w:r>
        <w:rPr>
          <w:rFonts w:hint="eastAsia" w:ascii="方正仿宋_GBK" w:hAnsi="方正仿宋_GBK" w:eastAsia="方正仿宋_GBK" w:cs="方正仿宋_GBK"/>
          <w:sz w:val="32"/>
          <w:szCs w:val="32"/>
        </w:rPr>
        <w:t>C</w:t>
      </w:r>
      <w:r>
        <w:rPr>
          <w:rFonts w:hint="eastAsia" w:ascii="Times New Roman" w:hAnsi="Times New Roman" w:eastAsia="方正仿宋_GBK" w:cs="方正仿宋_GBK"/>
          <w:sz w:val="32"/>
          <w:szCs w:val="32"/>
        </w:rPr>
        <w:t>00051</w:t>
      </w:r>
      <w:r>
        <w:rPr>
          <w:rFonts w:hint="eastAsia" w:ascii="方正仿宋_GBK" w:hAnsi="方正仿宋_GBK" w:eastAsia="方正仿宋_GBK" w:cs="方正仿宋_GBK"/>
          <w:sz w:val="32"/>
          <w:szCs w:val="32"/>
        </w:rPr>
        <w:t>采购时间：</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w:t>
      </w:r>
      <w:r>
        <w:rPr>
          <w:rFonts w:hint="eastAsia" w:ascii="Times New Roman" w:hAnsi="Times New Roman" w:eastAsia="方正仿宋_GBK" w:cs="方正仿宋_GBK"/>
          <w:sz w:val="32"/>
          <w:szCs w:val="32"/>
        </w:rPr>
        <w:t>07</w:t>
      </w:r>
      <w:r>
        <w:rPr>
          <w:rFonts w:hint="eastAsia" w:ascii="方正仿宋_GBK" w:hAnsi="方正仿宋_GBK" w:eastAsia="方正仿宋_GBK" w:cs="方正仿宋_GBK"/>
          <w:sz w:val="32"/>
          <w:szCs w:val="32"/>
        </w:rPr>
        <w:t>月</w:t>
      </w:r>
      <w:r>
        <w:rPr>
          <w:rFonts w:hint="eastAsia" w:ascii="Times New Roman" w:hAnsi="Times New Roman" w:eastAsia="方正仿宋_GBK" w:cs="方正仿宋_GBK"/>
          <w:sz w:val="32"/>
          <w:szCs w:val="32"/>
        </w:rPr>
        <w:t>11</w:t>
      </w:r>
      <w:r>
        <w:rPr>
          <w:rFonts w:hint="eastAsia" w:ascii="方正仿宋_GBK" w:hAnsi="方正仿宋_GBK" w:eastAsia="方正仿宋_GBK" w:cs="方正仿宋_GBK"/>
          <w:sz w:val="32"/>
          <w:szCs w:val="32"/>
        </w:rPr>
        <w:t>日</w:t>
      </w:r>
    </w:p>
    <w:p w14:paraId="08E162C1">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val="0"/>
          <w:sz w:val="32"/>
          <w:szCs w:val="32"/>
        </w:rPr>
        <w:t>二、项目名称</w:t>
      </w:r>
      <w:r>
        <w:rPr>
          <w:rFonts w:hint="eastAsia" w:ascii="方正仿宋_GBK" w:hAnsi="方正仿宋_GBK" w:eastAsia="方正仿宋_GBK" w:cs="方正仿宋_GBK"/>
          <w:sz w:val="32"/>
          <w:szCs w:val="32"/>
        </w:rPr>
        <w:t>：涪陵区入河排污口规范化建设工程</w:t>
      </w:r>
    </w:p>
    <w:p w14:paraId="4636F1B3">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三、相关当事人</w:t>
      </w:r>
    </w:p>
    <w:p w14:paraId="19227BD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投诉人：重庆思芸科技有限公司</w:t>
      </w:r>
    </w:p>
    <w:p w14:paraId="2DAE0CC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 址：重庆市南岸区弹子石街道紫金一品</w:t>
      </w:r>
    </w:p>
    <w:p w14:paraId="393A944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20" w:lineRule="exact"/>
        <w:ind w:left="0" w:right="0" w:firstLine="640" w:firstLineChars="200"/>
        <w:jc w:val="left"/>
        <w:textAlignment w:val="auto"/>
        <w:rPr>
          <w:rFonts w:hint="eastAsia" w:ascii="方正仿宋_GBK" w:hAnsi="方正仿宋_GBK" w:eastAsia="方正仿宋_GBK" w:cs="方正仿宋_GBK"/>
          <w:sz w:val="32"/>
          <w:szCs w:val="32"/>
        </w:rPr>
      </w:pPr>
    </w:p>
    <w:p w14:paraId="304EA5C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：重庆市涪陵区生态环境局</w:t>
      </w:r>
    </w:p>
    <w:p w14:paraId="2A52884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通讯地址：重庆市涪陵区太白大道</w:t>
      </w: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号</w:t>
      </w:r>
    </w:p>
    <w:p w14:paraId="499987F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20" w:lineRule="exact"/>
        <w:ind w:left="0" w:right="0" w:firstLine="640" w:firstLineChars="200"/>
        <w:jc w:val="left"/>
        <w:textAlignment w:val="auto"/>
        <w:rPr>
          <w:rFonts w:hint="eastAsia" w:ascii="方正仿宋_GBK" w:hAnsi="方正仿宋_GBK" w:eastAsia="方正仿宋_GBK" w:cs="方正仿宋_GBK"/>
          <w:sz w:val="32"/>
          <w:szCs w:val="32"/>
        </w:rPr>
      </w:pPr>
    </w:p>
    <w:p w14:paraId="012750E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：重庆国际投资咨询集团有限公司</w:t>
      </w:r>
    </w:p>
    <w:p w14:paraId="51ECFA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rPr>
        <w:t>通讯地址：重庆市江北区五简路</w:t>
      </w:r>
      <w:r>
        <w:rPr>
          <w:rFonts w:hint="eastAsia" w:ascii="Times New Roman" w:hAnsi="Times New Roman" w:eastAsia="方正仿宋_GBK" w:cs="方正仿宋_GBK"/>
          <w:spacing w:val="-20"/>
          <w:sz w:val="32"/>
          <w:szCs w:val="32"/>
        </w:rPr>
        <w:t>2</w:t>
      </w:r>
      <w:r>
        <w:rPr>
          <w:rFonts w:hint="eastAsia" w:ascii="方正仿宋_GBK" w:hAnsi="方正仿宋_GBK" w:eastAsia="方正仿宋_GBK" w:cs="方正仿宋_GBK"/>
          <w:spacing w:val="-20"/>
          <w:sz w:val="32"/>
          <w:szCs w:val="32"/>
        </w:rPr>
        <w:t>号重庆咨询大厦</w:t>
      </w:r>
      <w:r>
        <w:rPr>
          <w:rFonts w:hint="eastAsia" w:ascii="Times New Roman" w:hAnsi="Times New Roman" w:eastAsia="方正仿宋_GBK" w:cs="方正仿宋_GBK"/>
          <w:spacing w:val="-20"/>
          <w:sz w:val="32"/>
          <w:szCs w:val="32"/>
        </w:rPr>
        <w:t>1803</w:t>
      </w:r>
      <w:r>
        <w:rPr>
          <w:rFonts w:hint="eastAsia" w:ascii="方正仿宋_GBK" w:hAnsi="方正仿宋_GBK" w:eastAsia="方正仿宋_GBK" w:cs="方正仿宋_GBK"/>
          <w:spacing w:val="-20"/>
          <w:sz w:val="32"/>
          <w:szCs w:val="32"/>
        </w:rPr>
        <w:t>室</w:t>
      </w:r>
    </w:p>
    <w:p w14:paraId="21BFF61F">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四、基本情况</w:t>
      </w:r>
    </w:p>
    <w:p w14:paraId="591F5C8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投诉人不服被投诉人作出的质疑答复，向我局提出投诉。经审查，符合《政府采购质疑和投诉办法》（财政部令第</w:t>
      </w:r>
      <w:r>
        <w:rPr>
          <w:rFonts w:hint="eastAsia" w:ascii="Times New Roman" w:hAnsi="Times New Roman" w:eastAsia="方正仿宋_GBK" w:cs="方正仿宋_GBK"/>
          <w:sz w:val="32"/>
          <w:szCs w:val="32"/>
        </w:rPr>
        <w:t>94</w:t>
      </w:r>
      <w:r>
        <w:rPr>
          <w:rFonts w:hint="eastAsia" w:ascii="方正仿宋_GBK" w:hAnsi="方正仿宋_GBK" w:eastAsia="方正仿宋_GBK" w:cs="方正仿宋_GBK"/>
          <w:sz w:val="32"/>
          <w:szCs w:val="32"/>
        </w:rPr>
        <w:t>号）第十八条规定，我局决定予以受理。</w:t>
      </w:r>
    </w:p>
    <w:p w14:paraId="59A2D73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（一）投诉事项</w:t>
      </w:r>
    </w:p>
    <w:p w14:paraId="6586F79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：招标文件要求特定机构出具的检测报告作为加分项，构成排斥限制行为，涉及五参数水质分析仪、化学需氧量分析仪、氨氮分析仪等</w:t>
      </w:r>
      <w:r>
        <w:rPr>
          <w:rFonts w:hint="eastAsia" w:ascii="Times New Roman" w:hAnsi="Times New Roman" w:eastAsia="方正仿宋_GBK" w:cs="方正仿宋_GBK"/>
          <w:sz w:val="32"/>
          <w:szCs w:val="32"/>
        </w:rPr>
        <w:t>10</w:t>
      </w:r>
      <w:r>
        <w:rPr>
          <w:rFonts w:hint="eastAsia" w:ascii="方正仿宋_GBK" w:hAnsi="方正仿宋_GBK" w:eastAsia="方正仿宋_GBK" w:cs="方正仿宋_GBK"/>
          <w:sz w:val="32"/>
          <w:szCs w:val="32"/>
        </w:rPr>
        <w:t>项以上的检测报告要求。</w:t>
      </w:r>
    </w:p>
    <w:p w14:paraId="4A5A09B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：技术参数组合具有明显指向性，招标文件在质控单元和多功能采样瓶等关键设备上设置了大量高度具体且相互关联的技术要求。</w:t>
      </w:r>
    </w:p>
    <w:p w14:paraId="032E5A7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：要求提供项目成果作为投标条件，严重违反公平竞争原则。</w:t>
      </w:r>
    </w:p>
    <w:p w14:paraId="27BEC90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4</w:t>
      </w:r>
      <w:r>
        <w:rPr>
          <w:rFonts w:hint="eastAsia" w:ascii="方正仿宋_GBK" w:hAnsi="方正仿宋_GBK" w:eastAsia="方正仿宋_GBK" w:cs="方正仿宋_GBK"/>
          <w:sz w:val="32"/>
          <w:szCs w:val="32"/>
        </w:rPr>
        <w:t>：过度设置资质证书要求，构成对中小企业的变相歧视。</w:t>
      </w:r>
    </w:p>
    <w:p w14:paraId="3FD0AC3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5</w:t>
      </w:r>
      <w:r>
        <w:rPr>
          <w:rFonts w:hint="eastAsia" w:ascii="方正仿宋_GBK" w:hAnsi="方正仿宋_GBK" w:eastAsia="方正仿宋_GBK" w:cs="方正仿宋_GBK"/>
          <w:sz w:val="32"/>
          <w:szCs w:val="32"/>
        </w:rPr>
        <w:t>：违法设置诚信评分条件，混淆资格条件与评审因素。</w:t>
      </w:r>
    </w:p>
    <w:p w14:paraId="58AD4F1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（二）投诉请求</w:t>
      </w:r>
    </w:p>
    <w:p w14:paraId="5D17693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请求认定采购无效，纠正违法条款，重新开展采购活动。</w:t>
      </w:r>
    </w:p>
    <w:p w14:paraId="1B9CE6F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五、处理依据及结果</w:t>
      </w:r>
    </w:p>
    <w:p w14:paraId="3686953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经研究，根据《政府采购质疑和投诉办法》（财政部令第</w:t>
      </w:r>
      <w:r>
        <w:rPr>
          <w:rFonts w:hint="eastAsia" w:ascii="Times New Roman" w:hAnsi="Times New Roman" w:eastAsia="方正仿宋_GBK" w:cs="方正仿宋_GBK"/>
          <w:sz w:val="32"/>
          <w:szCs w:val="32"/>
        </w:rPr>
        <w:t>94</w:t>
      </w:r>
      <w:r>
        <w:rPr>
          <w:rFonts w:hint="eastAsia" w:ascii="方正仿宋_GBK" w:hAnsi="方正仿宋_GBK" w:eastAsia="方正仿宋_GBK" w:cs="方正仿宋_GBK"/>
          <w:sz w:val="32"/>
          <w:szCs w:val="32"/>
        </w:rPr>
        <w:t>号）第二十九条第（二）项规定，我局决定：投诉事项</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4</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5</w:t>
      </w:r>
      <w:r>
        <w:rPr>
          <w:rFonts w:hint="eastAsia" w:ascii="方正仿宋_GBK" w:hAnsi="方正仿宋_GBK" w:eastAsia="方正仿宋_GBK" w:cs="方正仿宋_GBK"/>
          <w:sz w:val="32"/>
          <w:szCs w:val="32"/>
        </w:rPr>
        <w:t>缺乏事实依据，投诉事项不成立。</w:t>
      </w:r>
    </w:p>
    <w:p w14:paraId="3409EFA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如对本决定不服，可以自收到本决定书之日起六十日内依法向涪陵区人民政府申请行政复议，或自收到本决定书之日起六个月内依法向人民法院提起行政诉讼。</w:t>
      </w:r>
    </w:p>
    <w:p w14:paraId="7A99529F">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其他补充事宜</w:t>
      </w:r>
    </w:p>
    <w:p w14:paraId="5059747F">
      <w:pPr>
        <w:keepNext w:val="0"/>
        <w:keepLines w:val="0"/>
        <w:pageBreakBefore w:val="0"/>
        <w:numPr>
          <w:numId w:val="0"/>
        </w:numPr>
        <w:kinsoku/>
        <w:wordWrap/>
        <w:overflowPunct/>
        <w:topLinePunct w:val="0"/>
        <w:autoSpaceDE/>
        <w:autoSpaceDN/>
        <w:bidi w:val="0"/>
        <w:adjustRightInd/>
        <w:snapToGrid/>
        <w:spacing w:beforeAutospacing="0" w:afterAutospacing="0" w:line="520" w:lineRule="exact"/>
        <w:ind w:left="0" w:right="0"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无</w:t>
      </w:r>
    </w:p>
    <w:p w14:paraId="78546D5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重庆市涪陵区财政局</w:t>
      </w:r>
    </w:p>
    <w:p w14:paraId="372BF7D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right="0" w:firstLine="640" w:firstLineChars="200"/>
        <w:jc w:val="right"/>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w:t>
      </w:r>
      <w:r>
        <w:rPr>
          <w:rFonts w:hint="eastAsia" w:ascii="Times New Roman" w:hAnsi="Times New Roman" w:eastAsia="方正仿宋_GBK" w:cs="方正仿宋_GBK"/>
          <w:sz w:val="32"/>
          <w:szCs w:val="32"/>
        </w:rPr>
        <w:t>9</w:t>
      </w:r>
      <w:r>
        <w:rPr>
          <w:rFonts w:hint="eastAsia" w:ascii="方正仿宋_GBK" w:hAnsi="方正仿宋_GBK" w:eastAsia="方正仿宋_GBK" w:cs="方正仿宋_GBK"/>
          <w:sz w:val="32"/>
          <w:szCs w:val="32"/>
        </w:rPr>
        <w:t>月</w:t>
      </w:r>
      <w:r>
        <w:rPr>
          <w:rFonts w:hint="eastAsia" w:ascii="Times New Roman" w:hAnsi="Times New Roman" w:eastAsia="方正仿宋_GBK" w:cs="方正仿宋_GBK"/>
          <w:sz w:val="32"/>
          <w:szCs w:val="32"/>
        </w:rPr>
        <w:t>19</w:t>
      </w:r>
      <w:r>
        <w:rPr>
          <w:rFonts w:hint="eastAsia" w:ascii="方正仿宋_GBK" w:hAnsi="方正仿宋_GBK" w:eastAsia="方正仿宋_GBK" w:cs="方正仿宋_GBK"/>
          <w:sz w:val="32"/>
          <w:szCs w:val="32"/>
        </w:rPr>
        <w:t>日</w:t>
      </w:r>
    </w:p>
    <w:p w14:paraId="3A128852">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textAlignment w:val="auto"/>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汉仪铸字木头人简">
    <w:panose1 w:val="00020600040101010101"/>
    <w:charset w:val="86"/>
    <w:family w:val="auto"/>
    <w:pitch w:val="default"/>
    <w:sig w:usb0="800000FF" w:usb1="1AC17CFA" w:usb2="00000016" w:usb3="00000000" w:csb0="000400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EBBE05"/>
    <w:multiLevelType w:val="singleLevel"/>
    <w:tmpl w:val="B0EBBE0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56D2D"/>
    <w:rsid w:val="3B756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2025-09-23T02:39:00Z</dcterms:created>
  <dc:creator>朱凯</dc:creator>
  <cp:lastModifiedBy>朱凯</cp:lastModifiedBy>
  <dcterms:modified xsi:type="dcterms:W3CDTF">2025-09-23T02:47:17Z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077AACC7507048DAA7A6C21CD32E472F_11</vt:lpwstr>
  </property>
  <property fmtid="{D5CDD505-2E9C-101B-9397-08002B2CF9AE}" pid="4" name="KSOTemplateDocerSaveRecord">
    <vt:lpwstr>eyJoZGlkIjoiYTRkNDg4ZTU5YjVlMDBjMjAxOTBjZWM5MDViNjE0MzgiLCJ1c2VySWQiOiIzMTE2ODA0MTIifQ==</vt:lpwstr>
  </property>
</Properties>
</file>