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71E8E5">
      <w:pPr>
        <w:pStyle w:val="9"/>
        <w:spacing w:before="0" w:beforeAutospacing="0" w:after="0" w:afterAutospacing="0" w:line="596" w:lineRule="exact"/>
        <w:jc w:val="center"/>
        <w:rPr>
          <w:rFonts w:hint="default"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t>重庆市涪陵区渡口事务中心</w:t>
      </w:r>
    </w:p>
    <w:p w14:paraId="267BDED6">
      <w:pPr>
        <w:pStyle w:val="9"/>
        <w:spacing w:before="0" w:beforeAutospacing="0" w:after="0" w:afterAutospacing="0" w:line="596" w:lineRule="exact"/>
        <w:jc w:val="center"/>
        <w:rPr>
          <w:rFonts w:hint="default" w:ascii="方正小标宋_GBK" w:hAnsi="方正小标宋_GBK" w:eastAsia="方正小标宋_GBK" w:cs="方正小标宋_GBK"/>
          <w:sz w:val="44"/>
          <w:szCs w:val="44"/>
          <w:shd w:val="clear" w:color="auto" w:fill="FFFFFF"/>
        </w:rPr>
      </w:pPr>
      <w:r>
        <w:rPr>
          <w:rFonts w:hint="default" w:ascii="Times New Roman" w:hAnsi="Times New Roman" w:eastAsia="方正小标宋_GBK"/>
          <w:sz w:val="44"/>
          <w:szCs w:val="44"/>
          <w:shd w:val="clear" w:color="auto" w:fill="FFFFFF"/>
        </w:rPr>
        <w:t>2024</w:t>
      </w:r>
      <w:r>
        <w:rPr>
          <w:rFonts w:ascii="方正小标宋_GBK" w:hAnsi="方正小标宋_GBK" w:eastAsia="方正小标宋_GBK" w:cs="方正小标宋_GBK"/>
          <w:sz w:val="44"/>
          <w:szCs w:val="44"/>
          <w:shd w:val="clear" w:color="auto" w:fill="FFFFFF"/>
        </w:rPr>
        <w:t>年度决算公开说明</w:t>
      </w:r>
    </w:p>
    <w:p w14:paraId="24C038EE">
      <w:pPr>
        <w:pStyle w:val="9"/>
        <w:shd w:val="clear" w:color="auto" w:fill="FFFFFF"/>
        <w:snapToGrid w:val="0"/>
        <w:spacing w:before="0" w:beforeAutospacing="0" w:after="0" w:afterAutospacing="0" w:line="560" w:lineRule="exact"/>
        <w:ind w:firstLine="640" w:firstLineChars="200"/>
        <w:jc w:val="both"/>
        <w:rPr>
          <w:rStyle w:val="13"/>
          <w:rFonts w:hint="default" w:ascii="方正黑体_GBK" w:eastAsia="方正黑体_GBK"/>
          <w:b w:val="0"/>
          <w:sz w:val="32"/>
          <w:szCs w:val="32"/>
        </w:rPr>
      </w:pPr>
    </w:p>
    <w:p w14:paraId="5EE177E8">
      <w:pPr>
        <w:pStyle w:val="9"/>
        <w:shd w:val="clear" w:color="auto" w:fill="FFFFFF"/>
        <w:snapToGrid w:val="0"/>
        <w:spacing w:before="0" w:beforeAutospacing="0" w:after="0" w:afterAutospacing="0" w:line="560" w:lineRule="exact"/>
        <w:ind w:firstLine="640" w:firstLineChars="200"/>
        <w:jc w:val="both"/>
        <w:rPr>
          <w:rFonts w:hint="default" w:ascii="方正黑体_GBK" w:eastAsia="方正黑体_GBK"/>
          <w:sz w:val="32"/>
          <w:szCs w:val="32"/>
        </w:rPr>
      </w:pPr>
      <w:r>
        <w:rPr>
          <w:rStyle w:val="13"/>
          <w:rFonts w:ascii="方正黑体_GBK" w:eastAsia="方正黑体_GBK"/>
          <w:b w:val="0"/>
          <w:sz w:val="32"/>
          <w:szCs w:val="32"/>
        </w:rPr>
        <w:t>一、单位基本情况</w:t>
      </w:r>
    </w:p>
    <w:p w14:paraId="006E5C86">
      <w:pPr>
        <w:pStyle w:val="9"/>
        <w:shd w:val="clear" w:color="auto" w:fill="FFFFFF"/>
        <w:snapToGrid w:val="0"/>
        <w:spacing w:before="0" w:beforeAutospacing="0" w:after="0" w:afterAutospacing="0" w:line="560" w:lineRule="exact"/>
        <w:ind w:firstLine="640" w:firstLineChars="200"/>
        <w:jc w:val="both"/>
        <w:rPr>
          <w:rStyle w:val="13"/>
          <w:rFonts w:hint="default" w:ascii="方正仿宋_GBK" w:eastAsia="方正仿宋_GBK"/>
          <w:b w:val="0"/>
          <w:sz w:val="32"/>
          <w:szCs w:val="32"/>
        </w:rPr>
      </w:pPr>
      <w:r>
        <w:rPr>
          <w:rStyle w:val="13"/>
          <w:rFonts w:ascii="方正仿宋_GBK" w:eastAsia="方正仿宋_GBK"/>
          <w:b w:val="0"/>
          <w:sz w:val="32"/>
          <w:szCs w:val="32"/>
        </w:rPr>
        <w:t>根据涪委编委〔2020〕111号机构编制方案，2020年10月重庆市涪陵区渡口管理所更名为重庆市涪陵区渡口事务中心，隶属重庆市涪陵区交通局的正科级公益一类全额拨款事业单位。</w:t>
      </w:r>
    </w:p>
    <w:p w14:paraId="225F0EF7">
      <w:pPr>
        <w:spacing w:line="560" w:lineRule="exact"/>
        <w:ind w:firstLine="640" w:firstLineChars="200"/>
        <w:rPr>
          <w:rStyle w:val="20"/>
          <w:rFonts w:hint="eastAsia" w:ascii="方正楷体_GBK" w:hAnsi="方正楷体_GBK" w:eastAsia="方正楷体_GBK" w:cs="方正楷体_GBK"/>
          <w:b w:val="0"/>
          <w:sz w:val="32"/>
          <w:szCs w:val="32"/>
        </w:rPr>
      </w:pPr>
      <w:r>
        <w:rPr>
          <w:rStyle w:val="20"/>
          <w:rFonts w:hint="eastAsia" w:ascii="方正楷体_GBK" w:hAnsi="方正楷体_GBK" w:eastAsia="方正楷体_GBK" w:cs="方正楷体_GBK"/>
          <w:b w:val="0"/>
          <w:sz w:val="32"/>
          <w:szCs w:val="32"/>
        </w:rPr>
        <w:t>（一）职能职责</w:t>
      </w:r>
    </w:p>
    <w:p w14:paraId="724D5A2A">
      <w:pPr>
        <w:pStyle w:val="9"/>
        <w:shd w:val="clear" w:color="auto" w:fill="FFFFFF"/>
        <w:snapToGrid w:val="0"/>
        <w:spacing w:before="0" w:beforeAutospacing="0" w:after="0" w:afterAutospacing="0" w:line="560" w:lineRule="exact"/>
        <w:ind w:firstLine="640" w:firstLineChars="200"/>
        <w:jc w:val="both"/>
        <w:rPr>
          <w:rStyle w:val="13"/>
          <w:rFonts w:hint="default" w:ascii="方正仿宋_GBK" w:eastAsia="方正仿宋_GBK"/>
          <w:b w:val="0"/>
          <w:sz w:val="32"/>
          <w:szCs w:val="32"/>
        </w:rPr>
      </w:pPr>
      <w:r>
        <w:rPr>
          <w:rStyle w:val="13"/>
          <w:rFonts w:ascii="方正仿宋_GBK" w:eastAsia="方正仿宋_GBK"/>
          <w:b w:val="0"/>
          <w:sz w:val="32"/>
          <w:szCs w:val="32"/>
        </w:rPr>
        <w:t>1、承担全区渡口渡船管理相关事务性、技术性工作。</w:t>
      </w:r>
    </w:p>
    <w:p w14:paraId="468F191D">
      <w:pPr>
        <w:pStyle w:val="9"/>
        <w:shd w:val="clear" w:color="auto" w:fill="FFFFFF"/>
        <w:snapToGrid w:val="0"/>
        <w:spacing w:before="0" w:beforeAutospacing="0" w:after="0" w:afterAutospacing="0" w:line="560" w:lineRule="exact"/>
        <w:ind w:firstLine="640" w:firstLineChars="200"/>
        <w:jc w:val="both"/>
        <w:rPr>
          <w:rStyle w:val="13"/>
          <w:rFonts w:hint="default" w:ascii="方正仿宋_GBK" w:eastAsia="方正仿宋_GBK"/>
          <w:b w:val="0"/>
          <w:sz w:val="32"/>
          <w:szCs w:val="32"/>
        </w:rPr>
      </w:pPr>
      <w:r>
        <w:rPr>
          <w:rStyle w:val="13"/>
          <w:rFonts w:ascii="方正仿宋_GBK" w:eastAsia="方正仿宋_GBK"/>
          <w:b w:val="0"/>
          <w:sz w:val="32"/>
          <w:szCs w:val="32"/>
        </w:rPr>
        <w:t>2、承担区交通局交办的其他工作。</w:t>
      </w:r>
    </w:p>
    <w:p w14:paraId="79550733">
      <w:pPr>
        <w:spacing w:line="560" w:lineRule="exact"/>
        <w:ind w:firstLine="640" w:firstLineChars="200"/>
        <w:rPr>
          <w:rStyle w:val="20"/>
          <w:rFonts w:hint="eastAsia" w:ascii="方正楷体_GBK" w:hAnsi="方正楷体_GBK" w:eastAsia="方正楷体_GBK" w:cs="方正楷体_GBK"/>
          <w:b w:val="0"/>
          <w:sz w:val="32"/>
          <w:szCs w:val="32"/>
        </w:rPr>
      </w:pPr>
      <w:r>
        <w:rPr>
          <w:rStyle w:val="20"/>
          <w:rFonts w:hint="eastAsia" w:ascii="方正楷体_GBK" w:hAnsi="方正楷体_GBK" w:eastAsia="方正楷体_GBK" w:cs="方正楷体_GBK"/>
          <w:b w:val="0"/>
          <w:sz w:val="32"/>
          <w:szCs w:val="32"/>
        </w:rPr>
        <w:t>（二）机构设置</w:t>
      </w:r>
    </w:p>
    <w:p w14:paraId="476F623C">
      <w:pPr>
        <w:pStyle w:val="9"/>
        <w:shd w:val="clear" w:color="auto" w:fill="FFFFFF"/>
        <w:spacing w:before="0" w:beforeAutospacing="0" w:after="0" w:afterAutospacing="0" w:line="560" w:lineRule="exact"/>
        <w:ind w:firstLine="560" w:firstLineChars="200"/>
        <w:jc w:val="both"/>
        <w:rPr>
          <w:rFonts w:hint="default" w:ascii="方正仿宋_GBK" w:eastAsia="方正仿宋_GBK"/>
          <w:spacing w:val="-20"/>
          <w:sz w:val="32"/>
          <w:szCs w:val="32"/>
        </w:rPr>
      </w:pPr>
      <w:r>
        <w:rPr>
          <w:rFonts w:ascii="方正仿宋_GBK" w:eastAsia="方正仿宋_GBK"/>
          <w:spacing w:val="-20"/>
          <w:sz w:val="32"/>
          <w:szCs w:val="32"/>
        </w:rPr>
        <w:t>重庆市涪陵区渡口事务中心无下属单位，内设办公室1个科室。</w:t>
      </w:r>
      <w:r>
        <w:rPr>
          <w:rFonts w:ascii="方正仿宋_GBK" w:eastAsia="方正仿宋_GBK"/>
          <w:sz w:val="32"/>
          <w:szCs w:val="32"/>
        </w:rPr>
        <w:t>从预算单位构成看，本单位无下级预算单位。</w:t>
      </w:r>
    </w:p>
    <w:p w14:paraId="04510690">
      <w:pPr>
        <w:pStyle w:val="9"/>
        <w:numPr>
          <w:ilvl w:val="0"/>
          <w:numId w:val="1"/>
        </w:numPr>
        <w:shd w:val="clear" w:color="auto" w:fill="FFFFFF"/>
        <w:spacing w:before="0" w:beforeAutospacing="0" w:after="0" w:afterAutospacing="0" w:line="596" w:lineRule="exact"/>
        <w:ind w:firstLine="643" w:firstLineChars="200"/>
        <w:jc w:val="both"/>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单位决算收支情况说明</w:t>
      </w:r>
    </w:p>
    <w:p w14:paraId="52A826F1">
      <w:pPr>
        <w:pStyle w:val="9"/>
        <w:shd w:val="clear" w:color="auto" w:fill="FFFFFF"/>
        <w:spacing w:before="0" w:beforeAutospacing="0" w:after="0" w:afterAutospacing="0" w:line="596" w:lineRule="exact"/>
        <w:ind w:firstLine="640" w:firstLineChars="200"/>
        <w:jc w:val="both"/>
        <w:rPr>
          <w:rFonts w:hint="default" w:ascii="方正仿宋_GBK" w:hAnsi="方正仿宋_GBK" w:eastAsia="方正仿宋_GBK" w:cs="方正仿宋_GBK"/>
          <w:color w:val="FF0000"/>
          <w:sz w:val="32"/>
          <w:szCs w:val="32"/>
          <w:shd w:val="clear" w:color="auto" w:fill="FFFFFF"/>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年度收、支总计均为</w:t>
      </w:r>
      <w:r>
        <w:rPr>
          <w:rFonts w:hint="default" w:ascii="Times New Roman" w:hAnsi="Times New Roman" w:eastAsia="方正仿宋_GBK"/>
          <w:sz w:val="32"/>
          <w:szCs w:val="32"/>
          <w:shd w:val="clear" w:color="auto" w:fill="FFFFFF"/>
        </w:rPr>
        <w:t>189.26</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收、支与2023年度相比，减少14.60万元，下降7.2%</w:t>
      </w:r>
      <w:r>
        <w:rPr>
          <w:rFonts w:ascii="方正仿宋_GBK" w:hAnsi="方正仿宋_GBK" w:eastAsia="方正仿宋_GBK" w:cs="方正仿宋_GBK"/>
          <w:sz w:val="32"/>
          <w:szCs w:val="32"/>
          <w:shd w:val="clear" w:color="auto" w:fill="FFFFFF"/>
        </w:rPr>
        <w:t>，主要原因是</w:t>
      </w:r>
      <w:r>
        <w:rPr>
          <w:rFonts w:ascii="方正仿宋_GBK" w:eastAsia="方正仿宋_GBK"/>
          <w:sz w:val="32"/>
          <w:szCs w:val="32"/>
        </w:rPr>
        <w:t>今年在职人员比上年减少1人，工资福利、社会保障和就业支出及住房保障收支减少，相应减少收支。</w:t>
      </w:r>
    </w:p>
    <w:p w14:paraId="22723F89">
      <w:pPr>
        <w:pStyle w:val="9"/>
        <w:snapToGrid w:val="0"/>
        <w:spacing w:before="0" w:beforeAutospacing="0" w:after="0" w:afterAutospacing="0" w:line="596" w:lineRule="exact"/>
        <w:ind w:firstLine="643" w:firstLineChars="200"/>
        <w:jc w:val="both"/>
        <w:rPr>
          <w:rFonts w:hint="default" w:ascii="方正仿宋_GBK" w:hAnsi="方正仿宋_GBK" w:eastAsia="方正仿宋_GBK" w:cs="方正仿宋_GBK"/>
          <w:sz w:val="32"/>
          <w:szCs w:val="32"/>
        </w:rPr>
      </w:pPr>
      <w:r>
        <w:rPr>
          <w:rStyle w:val="13"/>
          <w:rFonts w:hint="default" w:ascii="Times New Roman" w:hAnsi="Times New Roman" w:eastAsia="方正仿宋_GBK"/>
          <w:sz w:val="32"/>
          <w:szCs w:val="32"/>
          <w:shd w:val="clear" w:color="auto" w:fill="FFFFFF"/>
        </w:rPr>
        <w:t>1</w:t>
      </w:r>
      <w:r>
        <w:rPr>
          <w:rStyle w:val="13"/>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年度一般公共预算财政拨款收入</w:t>
      </w:r>
      <w:r>
        <w:rPr>
          <w:rFonts w:hint="default" w:ascii="Times New Roman" w:hAnsi="Times New Roman" w:eastAsia="方正仿宋_GBK"/>
          <w:sz w:val="32"/>
          <w:szCs w:val="32"/>
          <w:shd w:val="clear" w:color="auto" w:fill="FFFFFF"/>
        </w:rPr>
        <w:t>185.60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与2023年度相比，减少17.59万元，下降8.7%</w:t>
      </w:r>
      <w:r>
        <w:rPr>
          <w:rFonts w:ascii="方正仿宋_GBK" w:hAnsi="方正仿宋_GBK" w:eastAsia="方正仿宋_GBK" w:cs="方正仿宋_GBK"/>
          <w:sz w:val="32"/>
          <w:szCs w:val="32"/>
          <w:shd w:val="clear" w:color="auto" w:fill="FFFFFF"/>
        </w:rPr>
        <w:t>。主要原因是</w:t>
      </w:r>
      <w:r>
        <w:rPr>
          <w:rFonts w:ascii="方正仿宋_GBK" w:eastAsia="方正仿宋_GBK"/>
          <w:sz w:val="32"/>
          <w:szCs w:val="32"/>
        </w:rPr>
        <w:t>今年在职人员比上年减少1人，工资福利、社会保障和就业支出及住房保障收入减少</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较年初预算数增加14.49万元，增长8.5%</w:t>
      </w:r>
      <w:r>
        <w:rPr>
          <w:rFonts w:ascii="方正仿宋_GBK" w:hAnsi="方正仿宋_GBK" w:eastAsia="方正仿宋_GBK" w:cs="方正仿宋_GBK"/>
          <w:sz w:val="32"/>
          <w:szCs w:val="32"/>
          <w:shd w:val="clear" w:color="auto" w:fill="FFFFFF"/>
        </w:rPr>
        <w:t>。主要原因是区财政划拨2023年离退休健康休养费及在职人员增资，相应增加收入。此外，年初财政拨款结转和结余</w:t>
      </w:r>
      <w:r>
        <w:rPr>
          <w:rFonts w:hint="default" w:ascii="Times New Roman" w:hAnsi="Times New Roman" w:eastAsia="方正仿宋_GBK"/>
          <w:sz w:val="32"/>
          <w:szCs w:val="32"/>
          <w:shd w:val="clear" w:color="auto" w:fill="FFFFFF"/>
        </w:rPr>
        <w:t>3.67</w:t>
      </w:r>
      <w:r>
        <w:rPr>
          <w:rFonts w:ascii="方正仿宋_GBK" w:hAnsi="方正仿宋_GBK" w:eastAsia="方正仿宋_GBK" w:cs="方正仿宋_GBK"/>
          <w:sz w:val="32"/>
          <w:szCs w:val="32"/>
          <w:shd w:val="clear" w:color="auto" w:fill="FFFFFF"/>
        </w:rPr>
        <w:t>万元。</w:t>
      </w:r>
    </w:p>
    <w:p w14:paraId="34F7433C">
      <w:pPr>
        <w:pStyle w:val="9"/>
        <w:snapToGrid w:val="0"/>
        <w:spacing w:before="0" w:beforeAutospacing="0" w:after="0" w:afterAutospacing="0" w:line="596" w:lineRule="exact"/>
        <w:ind w:firstLine="643" w:firstLineChars="200"/>
        <w:jc w:val="both"/>
        <w:rPr>
          <w:rFonts w:hint="default" w:ascii="方正仿宋_GBK" w:hAnsi="方正仿宋_GBK" w:eastAsia="方正仿宋_GBK" w:cs="方正仿宋_GBK"/>
          <w:sz w:val="32"/>
          <w:szCs w:val="32"/>
          <w:shd w:val="clear" w:color="auto" w:fill="FFFFFF"/>
        </w:rPr>
      </w:pPr>
      <w:r>
        <w:rPr>
          <w:rStyle w:val="13"/>
          <w:rFonts w:hint="default" w:ascii="Times New Roman" w:hAnsi="Times New Roman" w:eastAsia="方正仿宋_GBK"/>
          <w:sz w:val="32"/>
          <w:szCs w:val="32"/>
          <w:shd w:val="clear" w:color="auto" w:fill="FFFFFF"/>
        </w:rPr>
        <w:t>2</w:t>
      </w:r>
      <w:r>
        <w:rPr>
          <w:rStyle w:val="13"/>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年度一般公共预算财政拨款支出</w:t>
      </w:r>
      <w:r>
        <w:rPr>
          <w:rFonts w:hint="default" w:ascii="Times New Roman" w:hAnsi="Times New Roman" w:eastAsia="方正仿宋_GBK"/>
          <w:sz w:val="32"/>
          <w:szCs w:val="32"/>
          <w:shd w:val="clear" w:color="auto" w:fill="FFFFFF"/>
        </w:rPr>
        <w:t>186.98</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与2023年度相比，减少13.21万元，下降6.6%</w:t>
      </w:r>
      <w:r>
        <w:rPr>
          <w:rFonts w:ascii="方正仿宋_GBK" w:hAnsi="方正仿宋_GBK" w:eastAsia="方正仿宋_GBK" w:cs="方正仿宋_GBK"/>
          <w:sz w:val="32"/>
          <w:szCs w:val="32"/>
          <w:shd w:val="clear" w:color="auto" w:fill="FFFFFF"/>
        </w:rPr>
        <w:t>。主要原因是</w:t>
      </w:r>
      <w:r>
        <w:rPr>
          <w:rFonts w:ascii="方正仿宋_GBK" w:eastAsia="方正仿宋_GBK"/>
          <w:sz w:val="32"/>
          <w:szCs w:val="32"/>
        </w:rPr>
        <w:t>今年在职人员比上年减少1人，工资福利、社会保障和就业支出及住房保障支出减少</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较年初预算数增加15.87万元，增长9.3%</w:t>
      </w:r>
      <w:r>
        <w:rPr>
          <w:rFonts w:ascii="方正仿宋_GBK" w:hAnsi="方正仿宋_GBK" w:eastAsia="方正仿宋_GBK" w:cs="方正仿宋_GBK"/>
          <w:sz w:val="32"/>
          <w:szCs w:val="32"/>
          <w:shd w:val="clear" w:color="auto" w:fill="FFFFFF"/>
        </w:rPr>
        <w:t>。主要原因是支付2023年离退休健康休养费和在职人员增资。</w:t>
      </w:r>
    </w:p>
    <w:p w14:paraId="35348F40">
      <w:pPr>
        <w:pStyle w:val="9"/>
        <w:snapToGrid w:val="0"/>
        <w:spacing w:before="0" w:beforeAutospacing="0" w:after="0" w:afterAutospacing="0" w:line="596" w:lineRule="exact"/>
        <w:ind w:firstLine="643" w:firstLineChars="200"/>
        <w:jc w:val="both"/>
        <w:rPr>
          <w:rFonts w:hint="default" w:ascii="方正仿宋_GBK" w:hAnsi="方正仿宋_GBK" w:eastAsia="方正仿宋_GBK" w:cs="方正仿宋_GBK"/>
          <w:sz w:val="32"/>
          <w:szCs w:val="32"/>
          <w:shd w:val="clear" w:color="auto" w:fill="FFFFFF"/>
        </w:rPr>
      </w:pPr>
      <w:r>
        <w:rPr>
          <w:rStyle w:val="13"/>
          <w:rFonts w:ascii="Times New Roman" w:hAnsi="Times New Roman" w:eastAsia="方正仿宋_GBK"/>
          <w:sz w:val="32"/>
          <w:szCs w:val="32"/>
          <w:shd w:val="clear" w:color="auto" w:fill="FFFFFF"/>
        </w:rPr>
        <w:t>3</w:t>
      </w:r>
      <w:r>
        <w:rPr>
          <w:rStyle w:val="13"/>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年度年末结转和结余</w:t>
      </w:r>
      <w:r>
        <w:rPr>
          <w:rFonts w:hint="default" w:ascii="Times New Roman" w:hAnsi="Times New Roman" w:eastAsia="方正仿宋_GBK"/>
          <w:sz w:val="32"/>
          <w:szCs w:val="32"/>
          <w:shd w:val="clear" w:color="auto" w:fill="FFFFFF"/>
        </w:rPr>
        <w:t>2.28</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与2023年度相比，减少1.39万元，下降37.9%</w:t>
      </w:r>
      <w:r>
        <w:rPr>
          <w:rFonts w:ascii="方正仿宋_GBK" w:hAnsi="方正仿宋_GBK" w:eastAsia="方正仿宋_GBK" w:cs="方正仿宋_GBK"/>
          <w:sz w:val="32"/>
          <w:szCs w:val="32"/>
          <w:shd w:val="clear" w:color="auto" w:fill="FFFFFF"/>
        </w:rPr>
        <w:t>，主要原因是今年物业管理费支出比上年度增加</w:t>
      </w:r>
      <w:r>
        <w:rPr>
          <w:rFonts w:hint="default" w:ascii="方正仿宋_GBK" w:hAnsi="方正仿宋_GBK" w:eastAsia="方正仿宋_GBK" w:cs="方正仿宋_GBK"/>
          <w:sz w:val="32"/>
          <w:szCs w:val="32"/>
          <w:shd w:val="clear" w:color="auto" w:fill="FFFFFF"/>
        </w:rPr>
        <w:t>2.1万元</w:t>
      </w:r>
      <w:r>
        <w:rPr>
          <w:rFonts w:ascii="方正仿宋_GBK" w:hAnsi="方正仿宋_GBK" w:eastAsia="方正仿宋_GBK" w:cs="方正仿宋_GBK"/>
          <w:sz w:val="32"/>
          <w:szCs w:val="32"/>
          <w:shd w:val="clear" w:color="auto" w:fill="FFFFFF"/>
        </w:rPr>
        <w:t>，导致本年度年末结转和结余减少。</w:t>
      </w:r>
    </w:p>
    <w:p w14:paraId="35FEE613">
      <w:pPr>
        <w:pStyle w:val="9"/>
        <w:snapToGrid w:val="0"/>
        <w:spacing w:before="0" w:beforeAutospacing="0" w:after="0" w:afterAutospacing="0" w:line="596" w:lineRule="exact"/>
        <w:ind w:firstLine="643" w:firstLineChars="200"/>
        <w:jc w:val="both"/>
        <w:rPr>
          <w:rFonts w:hint="default" w:ascii="楷体" w:hAnsi="楷体" w:eastAsia="楷体" w:cs="楷体"/>
          <w:b/>
          <w:bCs/>
          <w:sz w:val="32"/>
          <w:szCs w:val="32"/>
          <w:shd w:val="clear" w:color="auto" w:fill="FFFFFF"/>
        </w:rPr>
      </w:pPr>
      <w:r>
        <w:rPr>
          <w:rFonts w:ascii="楷体" w:hAnsi="楷体" w:eastAsia="楷体" w:cs="楷体"/>
          <w:b/>
          <w:bCs/>
          <w:sz w:val="32"/>
          <w:szCs w:val="32"/>
          <w:shd w:val="clear" w:color="auto" w:fill="FFFFFF"/>
        </w:rPr>
        <w:t>（二）财政拨款收入支出决算总体情况说明</w:t>
      </w:r>
    </w:p>
    <w:p w14:paraId="3DAD5E63">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年度财政拨款收、支总计均为</w:t>
      </w:r>
      <w:r>
        <w:rPr>
          <w:rFonts w:hint="default" w:ascii="Times New Roman" w:hAnsi="Times New Roman" w:eastAsia="方正仿宋_GBK"/>
          <w:sz w:val="32"/>
          <w:szCs w:val="32"/>
          <w:shd w:val="clear" w:color="auto" w:fill="FFFFFF"/>
        </w:rPr>
        <w:t>189.26</w:t>
      </w:r>
      <w:r>
        <w:rPr>
          <w:rFonts w:ascii="方正仿宋_GBK" w:hAnsi="方正仿宋_GBK" w:eastAsia="方正仿宋_GBK" w:cs="方正仿宋_GBK"/>
          <w:sz w:val="32"/>
          <w:szCs w:val="32"/>
          <w:shd w:val="clear" w:color="auto" w:fill="FFFFFF"/>
        </w:rPr>
        <w:t>万元。与</w:t>
      </w:r>
      <w:r>
        <w:rPr>
          <w:rFonts w:hint="default" w:ascii="Times New Roman" w:hAnsi="Times New Roman" w:eastAsia="方正仿宋_GBK"/>
          <w:sz w:val="32"/>
          <w:szCs w:val="32"/>
          <w:shd w:val="clear" w:color="auto" w:fill="FFFFFF"/>
        </w:rPr>
        <w:t>2023</w:t>
      </w:r>
      <w:r>
        <w:rPr>
          <w:rFonts w:ascii="方正仿宋_GBK" w:hAnsi="方正仿宋_GBK" w:eastAsia="方正仿宋_GBK" w:cs="方正仿宋_GBK"/>
          <w:sz w:val="32"/>
          <w:szCs w:val="32"/>
          <w:shd w:val="clear" w:color="auto" w:fill="FFFFFF"/>
        </w:rPr>
        <w:t>年度相比，</w:t>
      </w:r>
      <w:r>
        <w:rPr>
          <w:rFonts w:hint="default" w:ascii="Times New Roman" w:hAnsi="Times New Roman" w:eastAsia="方正仿宋_GBK"/>
          <w:sz w:val="32"/>
          <w:szCs w:val="32"/>
          <w:shd w:val="clear" w:color="auto" w:fill="FFFFFF"/>
        </w:rPr>
        <w:t>财政拨款收、支总计各减少14.60万元，下降7.2%</w:t>
      </w:r>
      <w:r>
        <w:rPr>
          <w:rFonts w:ascii="方正仿宋_GBK" w:hAnsi="方正仿宋_GBK" w:eastAsia="方正仿宋_GBK" w:cs="方正仿宋_GBK"/>
          <w:sz w:val="32"/>
          <w:szCs w:val="32"/>
          <w:shd w:val="clear" w:color="auto" w:fill="FFFFFF"/>
        </w:rPr>
        <w:t>。主要原因是</w:t>
      </w:r>
      <w:r>
        <w:rPr>
          <w:rFonts w:ascii="方正仿宋_GBK" w:eastAsia="方正仿宋_GBK"/>
          <w:sz w:val="32"/>
          <w:szCs w:val="32"/>
        </w:rPr>
        <w:t>今年在职人员比上年减少1人，工资福利、社会保障和就业支出及住房保障收支减少，相应减少收支。</w:t>
      </w:r>
    </w:p>
    <w:p w14:paraId="3EE82C06">
      <w:pPr>
        <w:pStyle w:val="14"/>
        <w:autoSpaceDE w:val="0"/>
        <w:spacing w:line="596"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（三）一般公共预算财政拨款收入支出决算情况说明</w:t>
      </w:r>
    </w:p>
    <w:p w14:paraId="279368B9">
      <w:pPr>
        <w:pStyle w:val="9"/>
        <w:snapToGrid w:val="0"/>
        <w:spacing w:before="0" w:beforeAutospacing="0" w:after="0" w:afterAutospacing="0" w:line="596" w:lineRule="exact"/>
        <w:ind w:firstLine="643" w:firstLineChars="200"/>
        <w:jc w:val="both"/>
        <w:rPr>
          <w:rFonts w:hint="default" w:ascii="方正仿宋_GBK" w:hAnsi="方正仿宋_GBK" w:eastAsia="方正仿宋_GBK" w:cs="方正仿宋_GBK"/>
          <w:sz w:val="32"/>
          <w:szCs w:val="32"/>
        </w:rPr>
      </w:pPr>
      <w:r>
        <w:rPr>
          <w:rStyle w:val="13"/>
          <w:rFonts w:hint="default" w:ascii="Times New Roman" w:hAnsi="Times New Roman" w:eastAsia="方正仿宋_GBK"/>
          <w:sz w:val="32"/>
          <w:szCs w:val="32"/>
          <w:shd w:val="clear" w:color="auto" w:fill="FFFFFF"/>
        </w:rPr>
        <w:t>1</w:t>
      </w:r>
      <w:r>
        <w:rPr>
          <w:rStyle w:val="13"/>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年度一般公共预算财政拨款收入</w:t>
      </w:r>
      <w:r>
        <w:rPr>
          <w:rFonts w:hint="default" w:ascii="Times New Roman" w:hAnsi="Times New Roman" w:eastAsia="方正仿宋_GBK"/>
          <w:sz w:val="32"/>
          <w:szCs w:val="32"/>
          <w:shd w:val="clear" w:color="auto" w:fill="FFFFFF"/>
        </w:rPr>
        <w:t>185.60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与2023年度相比，减少17.59万元，下降8.7%</w:t>
      </w:r>
      <w:r>
        <w:rPr>
          <w:rFonts w:ascii="方正仿宋_GBK" w:hAnsi="方正仿宋_GBK" w:eastAsia="方正仿宋_GBK" w:cs="方正仿宋_GBK"/>
          <w:sz w:val="32"/>
          <w:szCs w:val="32"/>
          <w:shd w:val="clear" w:color="auto" w:fill="FFFFFF"/>
        </w:rPr>
        <w:t>。主要原因是</w:t>
      </w:r>
      <w:r>
        <w:rPr>
          <w:rFonts w:ascii="方正仿宋_GBK" w:eastAsia="方正仿宋_GBK"/>
          <w:sz w:val="32"/>
          <w:szCs w:val="32"/>
        </w:rPr>
        <w:t>今年在职人员比上年减少1人，工资福利、社会保障和就业支出及住房保障收入减少</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较年初预算数增加14.49万元，增长8.5%</w:t>
      </w:r>
      <w:r>
        <w:rPr>
          <w:rFonts w:ascii="方正仿宋_GBK" w:hAnsi="方正仿宋_GBK" w:eastAsia="方正仿宋_GBK" w:cs="方正仿宋_GBK"/>
          <w:sz w:val="32"/>
          <w:szCs w:val="32"/>
          <w:shd w:val="clear" w:color="auto" w:fill="FFFFFF"/>
        </w:rPr>
        <w:t>。主要原因是年中区财政追加2023年离退休健康休养费11.3万元、应休未休年休假报酬1.65万元、人员增资及2023年度公务员年度考核奖3.08万元</w:t>
      </w:r>
      <w:r>
        <w:rPr>
          <w:rFonts w:ascii="仿宋" w:hAnsi="仿宋" w:eastAsia="仿宋" w:cs="仿宋"/>
          <w:color w:val="000000"/>
          <w:sz w:val="32"/>
          <w:szCs w:val="32"/>
        </w:rPr>
        <w:t>，</w:t>
      </w:r>
      <w:r>
        <w:rPr>
          <w:rFonts w:ascii="方正仿宋_GBK" w:eastAsia="方正仿宋_GBK"/>
          <w:sz w:val="32"/>
          <w:szCs w:val="32"/>
        </w:rPr>
        <w:t>同时人员退休调减人员费用1.55万元</w:t>
      </w:r>
      <w:r>
        <w:rPr>
          <w:rFonts w:ascii="方正仿宋_GBK" w:hAnsi="方正仿宋_GBK" w:eastAsia="方正仿宋_GBK" w:cs="方正仿宋_GBK"/>
          <w:sz w:val="32"/>
          <w:szCs w:val="32"/>
          <w:shd w:val="clear" w:color="auto" w:fill="FFFFFF"/>
        </w:rPr>
        <w:t>。此外，年初财政拨款结转和结余</w:t>
      </w:r>
      <w:r>
        <w:rPr>
          <w:rFonts w:hint="default" w:ascii="Times New Roman" w:hAnsi="Times New Roman" w:eastAsia="方正仿宋_GBK"/>
          <w:sz w:val="32"/>
          <w:szCs w:val="32"/>
          <w:shd w:val="clear" w:color="auto" w:fill="FFFFFF"/>
        </w:rPr>
        <w:t>3.67</w:t>
      </w:r>
      <w:r>
        <w:rPr>
          <w:rFonts w:ascii="方正仿宋_GBK" w:hAnsi="方正仿宋_GBK" w:eastAsia="方正仿宋_GBK" w:cs="方正仿宋_GBK"/>
          <w:sz w:val="32"/>
          <w:szCs w:val="32"/>
          <w:shd w:val="clear" w:color="auto" w:fill="FFFFFF"/>
        </w:rPr>
        <w:t>万元。</w:t>
      </w:r>
    </w:p>
    <w:p w14:paraId="2FDC473E">
      <w:pPr>
        <w:pStyle w:val="9"/>
        <w:snapToGrid w:val="0"/>
        <w:spacing w:before="0" w:beforeAutospacing="0" w:after="0" w:afterAutospacing="0" w:line="596" w:lineRule="exact"/>
        <w:ind w:firstLine="643" w:firstLineChars="200"/>
        <w:jc w:val="both"/>
        <w:rPr>
          <w:rFonts w:ascii="方正仿宋_GBK" w:hAnsi="方正仿宋_GBK" w:eastAsia="方正仿宋_GBK" w:cs="方正仿宋_GBK"/>
          <w:sz w:val="32"/>
          <w:szCs w:val="32"/>
          <w:shd w:val="clear" w:color="auto" w:fill="FFFFFF"/>
        </w:rPr>
      </w:pPr>
      <w:r>
        <w:rPr>
          <w:rStyle w:val="13"/>
          <w:rFonts w:hint="default" w:ascii="Times New Roman" w:hAnsi="Times New Roman" w:eastAsia="方正仿宋_GBK"/>
          <w:sz w:val="32"/>
          <w:szCs w:val="32"/>
          <w:shd w:val="clear" w:color="auto" w:fill="FFFFFF"/>
        </w:rPr>
        <w:t>2</w:t>
      </w:r>
      <w:r>
        <w:rPr>
          <w:rStyle w:val="13"/>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年度一般公共预算财政拨款支出</w:t>
      </w:r>
      <w:r>
        <w:rPr>
          <w:rFonts w:hint="default" w:ascii="Times New Roman" w:hAnsi="Times New Roman" w:eastAsia="方正仿宋_GBK"/>
          <w:sz w:val="32"/>
          <w:szCs w:val="32"/>
          <w:shd w:val="clear" w:color="auto" w:fill="FFFFFF"/>
        </w:rPr>
        <w:t>186.98</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与2023年度相比，减少13.21万元，下降6.6%</w:t>
      </w:r>
      <w:r>
        <w:rPr>
          <w:rFonts w:ascii="方正仿宋_GBK" w:hAnsi="方正仿宋_GBK" w:eastAsia="方正仿宋_GBK" w:cs="方正仿宋_GBK"/>
          <w:sz w:val="32"/>
          <w:szCs w:val="32"/>
          <w:shd w:val="clear" w:color="auto" w:fill="FFFFFF"/>
        </w:rPr>
        <w:t>。主要原因是</w:t>
      </w:r>
      <w:r>
        <w:rPr>
          <w:rFonts w:ascii="方正仿宋_GBK" w:eastAsia="方正仿宋_GBK"/>
          <w:sz w:val="32"/>
          <w:szCs w:val="32"/>
        </w:rPr>
        <w:t>今年在职人员比上年减少1人，工资福利支出和日常公用经费支出减少</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较年初预算数增加15.87万元，增长9.3%</w:t>
      </w:r>
      <w:r>
        <w:rPr>
          <w:rFonts w:ascii="方正仿宋_GBK" w:hAnsi="方正仿宋_GBK" w:eastAsia="方正仿宋_GBK" w:cs="方正仿宋_GBK"/>
          <w:sz w:val="32"/>
          <w:szCs w:val="32"/>
          <w:shd w:val="clear" w:color="auto" w:fill="FFFFFF"/>
        </w:rPr>
        <w:t>。主要原因是年中支付2023年离退休健康休养费11.3万元、应休未休年休假报酬1.65万元、人员增资及2023年度公务员年度考核奖3.08万元。</w:t>
      </w:r>
    </w:p>
    <w:p w14:paraId="7C563B14">
      <w:pPr>
        <w:pStyle w:val="9"/>
        <w:snapToGrid w:val="0"/>
        <w:spacing w:before="0" w:beforeAutospacing="0" w:after="0" w:afterAutospacing="0" w:line="596" w:lineRule="exact"/>
        <w:ind w:firstLine="643" w:firstLineChars="200"/>
        <w:jc w:val="both"/>
        <w:rPr>
          <w:rFonts w:hint="default" w:ascii="方正仿宋_GBK" w:hAnsi="方正仿宋_GBK" w:eastAsia="方正仿宋_GBK" w:cs="方正仿宋_GBK"/>
          <w:sz w:val="32"/>
          <w:szCs w:val="32"/>
          <w:shd w:val="clear" w:color="auto" w:fill="FFFFFF"/>
        </w:rPr>
      </w:pPr>
      <w:r>
        <w:rPr>
          <w:rStyle w:val="13"/>
          <w:rFonts w:hint="default" w:ascii="Times New Roman" w:hAnsi="Times New Roman" w:eastAsia="方正仿宋_GBK"/>
          <w:sz w:val="32"/>
          <w:szCs w:val="32"/>
          <w:shd w:val="clear" w:color="auto" w:fill="FFFFFF"/>
        </w:rPr>
        <w:t>3</w:t>
      </w:r>
      <w:r>
        <w:rPr>
          <w:rStyle w:val="13"/>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年度年末一般公共预算财政拨款结转和结余</w:t>
      </w:r>
      <w:r>
        <w:rPr>
          <w:rFonts w:hint="default" w:ascii="Times New Roman" w:hAnsi="Times New Roman" w:eastAsia="方正仿宋_GBK"/>
          <w:sz w:val="32"/>
          <w:szCs w:val="32"/>
          <w:shd w:val="clear" w:color="auto" w:fill="FFFFFF"/>
        </w:rPr>
        <w:t>2.28</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与2023年度相比，减少1.39万元，下降37.9%</w:t>
      </w:r>
      <w:r>
        <w:rPr>
          <w:rFonts w:ascii="方正仿宋_GBK" w:hAnsi="方正仿宋_GBK" w:eastAsia="方正仿宋_GBK" w:cs="方正仿宋_GBK"/>
          <w:sz w:val="32"/>
          <w:szCs w:val="32"/>
          <w:shd w:val="clear" w:color="auto" w:fill="FFFFFF"/>
        </w:rPr>
        <w:t>，主要原因是今年物业管理费支出比上年度增加</w:t>
      </w:r>
      <w:r>
        <w:rPr>
          <w:rFonts w:hint="default" w:ascii="方正仿宋_GBK" w:hAnsi="方正仿宋_GBK" w:eastAsia="方正仿宋_GBK" w:cs="方正仿宋_GBK"/>
          <w:sz w:val="32"/>
          <w:szCs w:val="32"/>
          <w:shd w:val="clear" w:color="auto" w:fill="FFFFFF"/>
        </w:rPr>
        <w:t>2.1万元</w:t>
      </w:r>
      <w:r>
        <w:rPr>
          <w:rFonts w:ascii="方正仿宋_GBK" w:hAnsi="方正仿宋_GBK" w:eastAsia="方正仿宋_GBK" w:cs="方正仿宋_GBK"/>
          <w:sz w:val="32"/>
          <w:szCs w:val="32"/>
          <w:shd w:val="clear" w:color="auto" w:fill="FFFFFF"/>
        </w:rPr>
        <w:t>，导致本年度年末结转和结余减少。</w:t>
      </w:r>
    </w:p>
    <w:p w14:paraId="6A46D20F">
      <w:pPr>
        <w:pStyle w:val="9"/>
        <w:snapToGrid w:val="0"/>
        <w:spacing w:before="0" w:beforeAutospacing="0" w:after="0" w:afterAutospacing="0" w:line="596" w:lineRule="exact"/>
        <w:ind w:firstLine="643" w:firstLineChars="200"/>
        <w:jc w:val="both"/>
        <w:rPr>
          <w:rFonts w:ascii="方正仿宋_GBK" w:hAnsi="方正仿宋_GBK" w:eastAsia="方正仿宋_GBK" w:cs="方正仿宋_GBK"/>
          <w:sz w:val="32"/>
          <w:szCs w:val="32"/>
          <w:shd w:val="clear" w:color="auto" w:fill="FFFFFF"/>
        </w:rPr>
      </w:pPr>
      <w:r>
        <w:rPr>
          <w:rStyle w:val="13"/>
          <w:rFonts w:ascii="方正仿宋_GBK" w:hAnsi="方正仿宋_GBK" w:eastAsia="方正仿宋_GBK" w:cs="方正仿宋_GBK"/>
          <w:sz w:val="32"/>
          <w:szCs w:val="32"/>
          <w:shd w:val="clear" w:color="auto" w:fill="FFFFFF"/>
        </w:rPr>
        <w:t>4.比较情况。</w:t>
      </w:r>
      <w:r>
        <w:rPr>
          <w:rFonts w:ascii="方正仿宋_GBK" w:hAnsi="方正仿宋_GBK" w:eastAsia="方正仿宋_GBK" w:cs="方正仿宋_GBK"/>
          <w:sz w:val="32"/>
          <w:szCs w:val="32"/>
          <w:shd w:val="clear" w:color="auto" w:fill="FFFFFF"/>
        </w:rPr>
        <w:t>2024年度一般公共预算财政拨款支出主要用于以下几个方面：</w:t>
      </w:r>
    </w:p>
    <w:p w14:paraId="4845A330">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1</w:t>
      </w:r>
      <w:r>
        <w:rPr>
          <w:rFonts w:ascii="方正仿宋_GBK" w:hAnsi="方正仿宋_GBK" w:eastAsia="方正仿宋_GBK" w:cs="方正仿宋_GBK"/>
          <w:sz w:val="32"/>
          <w:szCs w:val="32"/>
          <w:shd w:val="clear" w:color="auto" w:fill="FFFFFF"/>
        </w:rPr>
        <w:t>）社会保障和就业支出</w:t>
      </w:r>
      <w:r>
        <w:rPr>
          <w:rFonts w:hint="default" w:ascii="Times New Roman" w:hAnsi="Times New Roman" w:eastAsia="方正仿宋_GBK"/>
          <w:sz w:val="32"/>
          <w:szCs w:val="32"/>
          <w:shd w:val="clear" w:color="auto" w:fill="FFFFFF"/>
        </w:rPr>
        <w:t>30.79</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16.5%</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较年初预算数增加11.05万元，增长56.0%</w:t>
      </w:r>
      <w:r>
        <w:rPr>
          <w:rFonts w:ascii="方正仿宋_GBK" w:hAnsi="方正仿宋_GBK" w:eastAsia="方正仿宋_GBK" w:cs="方正仿宋_GBK"/>
          <w:sz w:val="32"/>
          <w:szCs w:val="32"/>
          <w:shd w:val="clear" w:color="auto" w:fill="FFFFFF"/>
        </w:rPr>
        <w:t>，主要原因是年中支付2023年离退休健康休养费11.3万元，</w:t>
      </w:r>
      <w:r>
        <w:rPr>
          <w:rFonts w:ascii="方正仿宋_GBK" w:eastAsia="方正仿宋_GBK"/>
          <w:sz w:val="32"/>
          <w:szCs w:val="32"/>
        </w:rPr>
        <w:t>相应增加支出</w:t>
      </w:r>
      <w:r>
        <w:rPr>
          <w:rFonts w:ascii="方正仿宋_GBK" w:hAnsi="方正仿宋_GBK" w:eastAsia="方正仿宋_GBK" w:cs="方正仿宋_GBK"/>
          <w:sz w:val="32"/>
          <w:szCs w:val="32"/>
          <w:shd w:val="clear" w:color="auto" w:fill="FFFFFF"/>
        </w:rPr>
        <w:t>。</w:t>
      </w:r>
    </w:p>
    <w:p w14:paraId="28EEB0AA">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w:t>
      </w:r>
      <w:r>
        <w:rPr>
          <w:rFonts w:ascii="Times New Roman" w:hAnsi="Times New Roman" w:eastAsia="方正仿宋_GBK"/>
          <w:sz w:val="32"/>
          <w:szCs w:val="32"/>
          <w:shd w:val="clear" w:color="auto" w:fill="FFFFFF"/>
        </w:rPr>
        <w:t>2</w:t>
      </w:r>
      <w:r>
        <w:rPr>
          <w:rFonts w:ascii="方正仿宋_GBK" w:hAnsi="方正仿宋_GBK" w:eastAsia="方正仿宋_GBK" w:cs="方正仿宋_GBK"/>
          <w:sz w:val="32"/>
          <w:szCs w:val="32"/>
          <w:shd w:val="clear" w:color="auto" w:fill="FFFFFF"/>
        </w:rPr>
        <w:t>）卫生健康支出</w:t>
      </w:r>
      <w:r>
        <w:rPr>
          <w:rFonts w:hint="default" w:ascii="Times New Roman" w:hAnsi="Times New Roman" w:eastAsia="方正仿宋_GBK"/>
          <w:sz w:val="32"/>
          <w:szCs w:val="32"/>
          <w:shd w:val="clear" w:color="auto" w:fill="FFFFFF"/>
        </w:rPr>
        <w:t>10.48</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5.6%</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较年初预算数减少0.11万元，下降1.0%</w:t>
      </w:r>
      <w:r>
        <w:rPr>
          <w:rFonts w:ascii="方正仿宋_GBK" w:hAnsi="方正仿宋_GBK" w:eastAsia="方正仿宋_GBK" w:cs="方正仿宋_GBK"/>
          <w:sz w:val="32"/>
          <w:szCs w:val="32"/>
          <w:shd w:val="clear" w:color="auto" w:fill="FFFFFF"/>
        </w:rPr>
        <w:t>，主要原因是今年11月在职人员退休1人，相应减少支出</w:t>
      </w:r>
      <w:r>
        <w:rPr>
          <w:rFonts w:ascii="方正仿宋_GBK" w:hAnsi="方正仿宋_GBK" w:eastAsia="方正仿宋_GBK" w:cs="方正仿宋_GBK"/>
          <w:color w:val="FF0000"/>
          <w:sz w:val="32"/>
          <w:szCs w:val="32"/>
          <w:shd w:val="clear" w:color="auto" w:fill="FFFFFF"/>
        </w:rPr>
        <w:t>。</w:t>
      </w:r>
    </w:p>
    <w:p w14:paraId="2561A733">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w:t>
      </w:r>
      <w:r>
        <w:rPr>
          <w:rFonts w:ascii="Times New Roman" w:hAnsi="Times New Roman" w:eastAsia="方正仿宋_GBK"/>
          <w:sz w:val="32"/>
          <w:szCs w:val="32"/>
          <w:shd w:val="clear" w:color="auto" w:fill="FFFFFF"/>
        </w:rPr>
        <w:t>3</w:t>
      </w:r>
      <w:r>
        <w:rPr>
          <w:rFonts w:ascii="方正仿宋_GBK" w:hAnsi="方正仿宋_GBK" w:eastAsia="方正仿宋_GBK" w:cs="方正仿宋_GBK"/>
          <w:sz w:val="32"/>
          <w:szCs w:val="32"/>
          <w:shd w:val="clear" w:color="auto" w:fill="FFFFFF"/>
        </w:rPr>
        <w:t>）交通运输支出</w:t>
      </w:r>
      <w:r>
        <w:rPr>
          <w:rFonts w:hint="default" w:ascii="Times New Roman" w:hAnsi="Times New Roman" w:eastAsia="方正仿宋_GBK"/>
          <w:sz w:val="32"/>
          <w:szCs w:val="32"/>
          <w:shd w:val="clear" w:color="auto" w:fill="FFFFFF"/>
        </w:rPr>
        <w:t>134.47</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71.9%</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较年初预算数增加5.24万元，增长4.1%</w:t>
      </w:r>
      <w:r>
        <w:rPr>
          <w:rFonts w:ascii="方正仿宋_GBK" w:hAnsi="方正仿宋_GBK" w:eastAsia="方正仿宋_GBK" w:cs="方正仿宋_GBK"/>
          <w:sz w:val="32"/>
          <w:szCs w:val="32"/>
          <w:shd w:val="clear" w:color="auto" w:fill="FFFFFF"/>
        </w:rPr>
        <w:t>，主要原因是年中支付人员增资、2023年度公务员年度考核奖和应休未休年休假报酬，相应增加支出。</w:t>
      </w:r>
    </w:p>
    <w:p w14:paraId="39DDCDCD">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w:t>
      </w:r>
      <w:r>
        <w:rPr>
          <w:rFonts w:ascii="Times New Roman" w:hAnsi="Times New Roman" w:eastAsia="方正仿宋_GBK"/>
          <w:sz w:val="32"/>
          <w:szCs w:val="32"/>
          <w:shd w:val="clear" w:color="auto" w:fill="FFFFFF"/>
        </w:rPr>
        <w:t>4</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住房保障支出</w:t>
      </w:r>
      <w:r>
        <w:rPr>
          <w:rFonts w:hint="default" w:ascii="Times New Roman" w:hAnsi="Times New Roman" w:eastAsia="方正仿宋_GBK"/>
          <w:sz w:val="32"/>
          <w:szCs w:val="32"/>
          <w:shd w:val="clear" w:color="auto" w:fill="FFFFFF"/>
        </w:rPr>
        <w:t>11.24</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6.0%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较年初预算数减少0.31万元，下降2.7%</w:t>
      </w:r>
      <w:r>
        <w:rPr>
          <w:rFonts w:ascii="方正仿宋_GBK" w:hAnsi="方正仿宋_GBK" w:eastAsia="方正仿宋_GBK" w:cs="方正仿宋_GBK"/>
          <w:sz w:val="32"/>
          <w:szCs w:val="32"/>
          <w:shd w:val="clear" w:color="auto" w:fill="FFFFFF"/>
        </w:rPr>
        <w:t>，主要原因是今年11月在职人员退休1人，相应减少支出</w:t>
      </w:r>
    </w:p>
    <w:p w14:paraId="7A05D3F4">
      <w:pPr>
        <w:pStyle w:val="9"/>
        <w:snapToGrid w:val="0"/>
        <w:spacing w:before="0" w:beforeAutospacing="0" w:after="0" w:afterAutospacing="0" w:line="596" w:lineRule="exact"/>
        <w:ind w:firstLine="643" w:firstLineChars="200"/>
        <w:jc w:val="both"/>
        <w:rPr>
          <w:rFonts w:hint="default" w:ascii="楷体" w:hAnsi="楷体" w:eastAsia="楷体" w:cs="楷体"/>
          <w:b/>
          <w:bCs/>
          <w:sz w:val="32"/>
          <w:szCs w:val="32"/>
          <w:shd w:val="clear" w:color="auto" w:fill="FFFFFF"/>
        </w:rPr>
      </w:pPr>
      <w:r>
        <w:rPr>
          <w:rFonts w:ascii="楷体" w:hAnsi="楷体" w:eastAsia="楷体" w:cs="楷体"/>
          <w:b/>
          <w:bCs/>
          <w:sz w:val="32"/>
          <w:szCs w:val="32"/>
          <w:shd w:val="clear" w:color="auto" w:fill="FFFFFF"/>
        </w:rPr>
        <w:t>（四）一般公共预算财政拨款基本支出决算情况说明</w:t>
      </w:r>
    </w:p>
    <w:p w14:paraId="24D5FAA1">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shd w:val="clear" w:color="auto" w:fill="FFFFFF"/>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年度一般公共财政拨款基本支出</w:t>
      </w:r>
      <w:r>
        <w:rPr>
          <w:rFonts w:hint="default" w:ascii="Times New Roman" w:hAnsi="Times New Roman" w:eastAsia="方正仿宋_GBK"/>
          <w:sz w:val="32"/>
          <w:szCs w:val="32"/>
          <w:shd w:val="clear" w:color="auto" w:fill="FFFFFF"/>
        </w:rPr>
        <w:t>177.56</w:t>
      </w:r>
      <w:r>
        <w:rPr>
          <w:rFonts w:ascii="方正仿宋_GBK" w:hAnsi="方正仿宋_GBK" w:eastAsia="方正仿宋_GBK" w:cs="方正仿宋_GBK"/>
          <w:sz w:val="32"/>
          <w:szCs w:val="32"/>
          <w:shd w:val="clear" w:color="auto" w:fill="FFFFFF"/>
        </w:rPr>
        <w:t>万元。</w:t>
      </w:r>
    </w:p>
    <w:p w14:paraId="6AEF7D03">
      <w:pPr>
        <w:pStyle w:val="9"/>
        <w:snapToGrid w:val="0"/>
        <w:spacing w:before="0" w:beforeAutospacing="0" w:after="0" w:afterAutospacing="0" w:line="596" w:lineRule="exact"/>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其中：</w:t>
      </w:r>
    </w:p>
    <w:p w14:paraId="6B9241CE">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人员经费</w:t>
      </w:r>
      <w:r>
        <w:rPr>
          <w:rFonts w:hint="default" w:ascii="Times New Roman" w:hAnsi="Times New Roman" w:eastAsia="方正仿宋_GBK"/>
          <w:sz w:val="32"/>
          <w:szCs w:val="32"/>
          <w:shd w:val="clear" w:color="auto" w:fill="FFFFFF"/>
        </w:rPr>
        <w:t>152.85</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与2023年度相比，减少15.74万元，下降9.3%</w:t>
      </w:r>
      <w:r>
        <w:rPr>
          <w:rFonts w:ascii="方正仿宋_GBK" w:hAnsi="方正仿宋_GBK" w:eastAsia="方正仿宋_GBK" w:cs="方正仿宋_GBK"/>
          <w:sz w:val="32"/>
          <w:szCs w:val="32"/>
          <w:shd w:val="clear" w:color="auto" w:fill="FFFFFF"/>
        </w:rPr>
        <w:t>，主要原因是</w:t>
      </w:r>
      <w:r>
        <w:rPr>
          <w:rFonts w:ascii="方正仿宋_GBK" w:eastAsia="方正仿宋_GBK"/>
          <w:sz w:val="32"/>
          <w:szCs w:val="32"/>
        </w:rPr>
        <w:t>今年在职人员比上年减少1人，工资福利支出相应减少</w:t>
      </w:r>
      <w:r>
        <w:rPr>
          <w:rFonts w:ascii="方正仿宋_GBK" w:hAnsi="方正仿宋_GBK" w:eastAsia="方正仿宋_GBK" w:cs="方正仿宋_GBK"/>
          <w:sz w:val="32"/>
          <w:szCs w:val="32"/>
          <w:shd w:val="clear" w:color="auto" w:fill="FFFFFF"/>
        </w:rPr>
        <w:t>。人员经费用途主要包括</w:t>
      </w:r>
      <w:r>
        <w:rPr>
          <w:rFonts w:ascii="方正仿宋_GBK" w:eastAsia="方正仿宋_GBK"/>
          <w:sz w:val="32"/>
          <w:szCs w:val="32"/>
        </w:rPr>
        <w:t>基本工资、津贴补贴、奖金、社会保障缴费、住房公积金和其他工资福利支出。</w:t>
      </w:r>
    </w:p>
    <w:p w14:paraId="17D2AA65">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公用经费</w:t>
      </w:r>
      <w:r>
        <w:rPr>
          <w:rFonts w:hint="default" w:ascii="Times New Roman" w:hAnsi="Times New Roman" w:eastAsia="方正仿宋_GBK"/>
          <w:sz w:val="32"/>
          <w:szCs w:val="32"/>
          <w:shd w:val="clear" w:color="auto" w:fill="FFFFFF"/>
        </w:rPr>
        <w:t>24.71</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与2023年度相比，增加2.53万元，增长11.4%</w:t>
      </w:r>
      <w:r>
        <w:rPr>
          <w:rFonts w:ascii="方正仿宋_GBK" w:hAnsi="方正仿宋_GBK" w:eastAsia="方正仿宋_GBK" w:cs="方正仿宋_GBK"/>
          <w:sz w:val="32"/>
          <w:szCs w:val="32"/>
          <w:shd w:val="clear" w:color="auto" w:fill="FFFFFF"/>
        </w:rPr>
        <w:t>，主要原因是</w:t>
      </w:r>
      <w:r>
        <w:rPr>
          <w:rFonts w:ascii="方正仿宋_GBK" w:eastAsia="方正仿宋_GBK"/>
          <w:sz w:val="32"/>
          <w:szCs w:val="32"/>
        </w:rPr>
        <w:t>今年在职人员比上年减少1人，日常公用经费支出相应减少</w:t>
      </w:r>
      <w:r>
        <w:rPr>
          <w:rFonts w:ascii="方正仿宋_GBK" w:hAnsi="方正仿宋_GBK" w:eastAsia="方正仿宋_GBK" w:cs="方正仿宋_GBK"/>
          <w:sz w:val="32"/>
          <w:szCs w:val="32"/>
          <w:shd w:val="clear" w:color="auto" w:fill="FFFFFF"/>
        </w:rPr>
        <w:t>。公用经费用途主要包括</w:t>
      </w:r>
      <w:r>
        <w:rPr>
          <w:rFonts w:ascii="方正仿宋_GBK" w:eastAsia="方正仿宋_GBK"/>
          <w:sz w:val="32"/>
          <w:szCs w:val="32"/>
        </w:rPr>
        <w:t>办公费、邮电费、差旅费、公务接待费、委托业务费、工会经费、福利费、维护（修）费、其他交通费、其他商品和服务费等。</w:t>
      </w:r>
    </w:p>
    <w:p w14:paraId="4CCC7E0D">
      <w:pPr>
        <w:pStyle w:val="14"/>
        <w:autoSpaceDE w:val="0"/>
        <w:spacing w:line="596"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（五）政府性基金预算收支决算情况说明</w:t>
      </w:r>
    </w:p>
    <w:p w14:paraId="02BDCC04">
      <w:pPr>
        <w:pStyle w:val="9"/>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shd w:val="clear" w:color="auto" w:fill="FFFFFF"/>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年度政府性基金预算财政拨款年初结转结余</w:t>
      </w:r>
      <w:r>
        <w:rPr>
          <w:rFonts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万元，年末结转结余</w:t>
      </w:r>
      <w:r>
        <w:rPr>
          <w:rFonts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万元。本年收入</w:t>
      </w:r>
      <w:r>
        <w:rPr>
          <w:rFonts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ascii="Times New Roman" w:hAnsi="Times New Roman" w:eastAsia="方正仿宋_GBK"/>
          <w:sz w:val="32"/>
          <w:szCs w:val="32"/>
          <w:shd w:val="clear" w:color="auto" w:fill="FFFFFF"/>
        </w:rPr>
        <w:t>。</w:t>
      </w:r>
      <w:r>
        <w:rPr>
          <w:rFonts w:ascii="方正仿宋_GBK" w:hAnsi="方正仿宋_GBK" w:eastAsia="方正仿宋_GBK" w:cs="方正仿宋_GBK"/>
          <w:sz w:val="32"/>
          <w:szCs w:val="32"/>
          <w:shd w:val="clear" w:color="auto" w:fill="FFFFFF"/>
        </w:rPr>
        <w:t>本年支出</w:t>
      </w:r>
      <w:r>
        <w:rPr>
          <w:rFonts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ascii="方正仿宋_GBK" w:hAnsi="方正仿宋_GBK" w:eastAsia="方正仿宋_GBK" w:cs="方正仿宋_GBK"/>
          <w:sz w:val="32"/>
          <w:szCs w:val="32"/>
          <w:shd w:val="clear" w:color="auto" w:fill="FFFFFF"/>
        </w:rPr>
        <w:t>。本单位2024年度无政府性基金预算财政拨款收支。</w:t>
      </w:r>
    </w:p>
    <w:p w14:paraId="3557A971">
      <w:pPr>
        <w:pStyle w:val="14"/>
        <w:autoSpaceDE w:val="0"/>
        <w:spacing w:line="596"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（六）国有资本经营预算财政拨款支出决算情况说明</w:t>
      </w:r>
    </w:p>
    <w:p w14:paraId="022FB256">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shd w:val="clear" w:color="auto" w:fill="FFFFFF"/>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年度国有资本经营预算财政拨款支出</w:t>
      </w:r>
      <w:r>
        <w:rPr>
          <w:rFonts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万元，基本支出</w:t>
      </w:r>
      <w:r>
        <w:rPr>
          <w:rFonts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万元，项目支出</w:t>
      </w:r>
      <w:r>
        <w:rPr>
          <w:rFonts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万元。</w:t>
      </w:r>
      <w:r>
        <w:rPr>
          <w:rFonts w:ascii="Times New Roman" w:hAnsi="Times New Roman" w:eastAsia="方正仿宋_GBK"/>
          <w:sz w:val="32"/>
          <w:szCs w:val="32"/>
          <w:shd w:val="clear" w:color="auto" w:fill="FFFFFF"/>
        </w:rPr>
        <w:t>本单</w:t>
      </w:r>
      <w:r>
        <w:rPr>
          <w:rFonts w:ascii="方正仿宋_GBK" w:hAnsi="方正仿宋_GBK" w:eastAsia="方正仿宋_GBK" w:cs="方正仿宋_GBK"/>
          <w:sz w:val="32"/>
          <w:szCs w:val="32"/>
          <w:shd w:val="clear" w:color="auto" w:fill="FFFFFF"/>
        </w:rPr>
        <w:t>位</w:t>
      </w:r>
      <w:r>
        <w:rPr>
          <w:rFonts w:hint="default" w:ascii="方正仿宋_GBK" w:hAnsi="方正仿宋_GBK" w:eastAsia="方正仿宋_GBK" w:cs="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年度无国有资本经营预算财政拨款支出。</w:t>
      </w:r>
    </w:p>
    <w:p w14:paraId="6FF4A1D1">
      <w:pPr>
        <w:pStyle w:val="9"/>
        <w:shd w:val="clear" w:color="auto" w:fill="FFFFFF"/>
        <w:spacing w:before="0" w:beforeAutospacing="0" w:after="0" w:afterAutospacing="0" w:line="596" w:lineRule="exact"/>
        <w:ind w:firstLine="643" w:firstLineChars="200"/>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三、财政拨款“三公”经费情况说明</w:t>
      </w:r>
    </w:p>
    <w:p w14:paraId="56F43A5D">
      <w:pPr>
        <w:pStyle w:val="14"/>
        <w:autoSpaceDE w:val="0"/>
        <w:spacing w:line="596"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（一）“三公”经费支出总体情况说明</w:t>
      </w:r>
    </w:p>
    <w:p w14:paraId="378226F5">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年度“三公”经费支出共计</w:t>
      </w:r>
      <w:r>
        <w:rPr>
          <w:rFonts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较年初预算数减少0.1万元，下降100.0%</w:t>
      </w:r>
      <w:r>
        <w:rPr>
          <w:rFonts w:ascii="Times New Roman" w:hAnsi="Times New Roman" w:eastAsia="方正仿宋_GBK"/>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ascii="方正仿宋_GBK" w:eastAsia="方正仿宋_GBK"/>
          <w:sz w:val="32"/>
          <w:szCs w:val="32"/>
        </w:rPr>
        <w:t>认真贯彻落实中央八项规定精神，按照只减不增的要求从严控制“三公”经费。</w:t>
      </w:r>
      <w:r>
        <w:rPr>
          <w:rFonts w:hint="default" w:ascii="Times New Roman" w:hAnsi="Times New Roman" w:eastAsia="方正仿宋_GBK"/>
          <w:sz w:val="32"/>
          <w:szCs w:val="32"/>
          <w:shd w:val="clear" w:color="auto" w:fill="FFFFFF"/>
        </w:rPr>
        <w:t>较上年支出数无增减</w:t>
      </w:r>
      <w:r>
        <w:rPr>
          <w:rFonts w:ascii="方正仿宋_GBK" w:hAnsi="方正仿宋_GBK" w:eastAsia="方正仿宋_GBK" w:cs="方正仿宋_GBK"/>
          <w:sz w:val="32"/>
          <w:szCs w:val="32"/>
          <w:shd w:val="clear" w:color="auto" w:fill="FFFFFF"/>
        </w:rPr>
        <w:t>，与上年支出持平</w:t>
      </w:r>
      <w:r>
        <w:rPr>
          <w:rFonts w:ascii="方正仿宋_GBK" w:eastAsia="方正仿宋_GBK"/>
          <w:sz w:val="32"/>
          <w:szCs w:val="32"/>
        </w:rPr>
        <w:t>。</w:t>
      </w:r>
    </w:p>
    <w:p w14:paraId="6141D7F1">
      <w:pPr>
        <w:pStyle w:val="9"/>
        <w:snapToGrid w:val="0"/>
        <w:spacing w:before="0" w:beforeAutospacing="0" w:after="0" w:afterAutospacing="0" w:line="596" w:lineRule="exact"/>
        <w:ind w:firstLine="643" w:firstLineChars="200"/>
        <w:jc w:val="both"/>
        <w:rPr>
          <w:rFonts w:hint="default" w:ascii="楷体" w:hAnsi="楷体" w:eastAsia="楷体" w:cs="楷体"/>
          <w:b/>
          <w:bCs/>
          <w:sz w:val="32"/>
          <w:szCs w:val="32"/>
          <w:shd w:val="clear" w:color="auto" w:fill="FFFFFF"/>
        </w:rPr>
      </w:pPr>
      <w:r>
        <w:rPr>
          <w:rFonts w:ascii="楷体" w:hAnsi="楷体" w:eastAsia="楷体" w:cs="楷体"/>
          <w:b/>
          <w:bCs/>
          <w:sz w:val="32"/>
          <w:szCs w:val="32"/>
          <w:shd w:val="clear" w:color="auto" w:fill="FFFFFF"/>
        </w:rPr>
        <w:t>（二）“三公”经费分项支出情况</w:t>
      </w:r>
    </w:p>
    <w:p w14:paraId="31F33424">
      <w:pPr>
        <w:pStyle w:val="9"/>
        <w:shd w:val="clear" w:color="auto" w:fill="FFFFFF"/>
        <w:snapToGrid w:val="0"/>
        <w:spacing w:before="0" w:beforeAutospacing="0" w:after="0" w:afterAutospacing="0" w:line="560" w:lineRule="exact"/>
        <w:ind w:firstLine="640" w:firstLineChars="200"/>
        <w:jc w:val="both"/>
        <w:rPr>
          <w:rFonts w:hint="default" w:ascii="方正仿宋_GBK" w:eastAsia="方正仿宋_GBK"/>
          <w:sz w:val="32"/>
          <w:szCs w:val="32"/>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年度本单位因公出国（境）费用</w:t>
      </w:r>
      <w:r>
        <w:rPr>
          <w:rFonts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万元。费用支出较年初预算数和上年支出数</w:t>
      </w:r>
      <w:r>
        <w:rPr>
          <w:rFonts w:ascii="方正仿宋_GBK" w:eastAsia="方正仿宋_GBK"/>
          <w:sz w:val="32"/>
          <w:szCs w:val="32"/>
        </w:rPr>
        <w:t>均无增减。本单位2024年度未发生因公出国（境）费用。</w:t>
      </w:r>
    </w:p>
    <w:p w14:paraId="1049109E">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公务用车购置费</w:t>
      </w:r>
      <w:r>
        <w:rPr>
          <w:rFonts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万元。费用支出较年初预算数和上年支出数</w:t>
      </w:r>
      <w:r>
        <w:rPr>
          <w:rFonts w:ascii="方正仿宋_GBK" w:eastAsia="方正仿宋_GBK"/>
          <w:sz w:val="32"/>
          <w:szCs w:val="32"/>
        </w:rPr>
        <w:t>均无增减。本单位2024年度未发生公务车购置费用。</w:t>
      </w:r>
    </w:p>
    <w:p w14:paraId="140005B5">
      <w:pPr>
        <w:pStyle w:val="9"/>
        <w:snapToGrid w:val="0"/>
        <w:spacing w:before="0" w:beforeAutospacing="0" w:after="0" w:afterAutospacing="0" w:line="600" w:lineRule="exact"/>
        <w:ind w:firstLine="640" w:firstLineChars="200"/>
        <w:jc w:val="both"/>
        <w:rPr>
          <w:rFonts w:hint="default" w:ascii="方正仿宋_GBK" w:eastAsia="方正仿宋_GBK"/>
          <w:sz w:val="32"/>
          <w:szCs w:val="32"/>
        </w:rPr>
      </w:pPr>
      <w:r>
        <w:rPr>
          <w:rFonts w:ascii="方正仿宋_GBK" w:hAnsi="方正仿宋_GBK" w:eastAsia="方正仿宋_GBK" w:cs="方正仿宋_GBK"/>
          <w:sz w:val="32"/>
          <w:szCs w:val="32"/>
          <w:shd w:val="clear" w:color="auto" w:fill="FFFFFF"/>
        </w:rPr>
        <w:t>公务用车运行维护费</w:t>
      </w:r>
      <w:r>
        <w:rPr>
          <w:rFonts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万元。费用支出较年初预算数和上年支出数均无增减。</w:t>
      </w:r>
      <w:r>
        <w:rPr>
          <w:rFonts w:ascii="方正仿宋_GBK" w:eastAsia="方正仿宋_GBK"/>
          <w:sz w:val="32"/>
          <w:szCs w:val="32"/>
        </w:rPr>
        <w:t>本单位2024年度未发生公务车运行维护费。</w:t>
      </w:r>
    </w:p>
    <w:p w14:paraId="7AB67BC0">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公务接待费</w:t>
      </w:r>
      <w:r>
        <w:rPr>
          <w:rFonts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万元。费用支出</w:t>
      </w:r>
      <w:r>
        <w:rPr>
          <w:rFonts w:hint="default" w:ascii="Times New Roman" w:hAnsi="Times New Roman" w:eastAsia="方正仿宋_GBK"/>
          <w:sz w:val="32"/>
          <w:szCs w:val="32"/>
          <w:shd w:val="clear" w:color="auto" w:fill="FFFFFF"/>
        </w:rPr>
        <w:t>较年初预算数减少0.1万元，下降100.0%</w:t>
      </w:r>
      <w:r>
        <w:rPr>
          <w:rFonts w:ascii="方正仿宋_GBK" w:hAnsi="方正仿宋_GBK" w:eastAsia="方正仿宋_GBK" w:cs="方正仿宋_GBK"/>
          <w:sz w:val="32"/>
          <w:szCs w:val="32"/>
          <w:shd w:val="clear" w:color="auto" w:fill="FFFFFF"/>
        </w:rPr>
        <w:t>，主要原因是</w:t>
      </w:r>
      <w:r>
        <w:rPr>
          <w:rFonts w:ascii="方正仿宋_GBK" w:eastAsia="方正仿宋_GBK"/>
          <w:sz w:val="32"/>
          <w:szCs w:val="32"/>
        </w:rPr>
        <w:t>认真贯彻落实中央八项规定精神，按照只减不增的要求从严控制“三公”经费。</w:t>
      </w:r>
      <w:r>
        <w:rPr>
          <w:rFonts w:hint="default" w:ascii="Times New Roman" w:hAnsi="Times New Roman" w:eastAsia="方正仿宋_GBK"/>
          <w:sz w:val="32"/>
          <w:szCs w:val="32"/>
          <w:shd w:val="clear" w:color="auto" w:fill="FFFFFF"/>
        </w:rPr>
        <w:t>较上年支出数无增减</w:t>
      </w:r>
      <w:r>
        <w:rPr>
          <w:rFonts w:ascii="方正仿宋_GBK" w:hAnsi="方正仿宋_GBK" w:eastAsia="方正仿宋_GBK" w:cs="方正仿宋_GBK"/>
          <w:sz w:val="32"/>
          <w:szCs w:val="32"/>
          <w:shd w:val="clear" w:color="auto" w:fill="FFFFFF"/>
        </w:rPr>
        <w:t>，与上年支出持平</w:t>
      </w:r>
      <w:r>
        <w:rPr>
          <w:rFonts w:ascii="方正仿宋_GBK" w:eastAsia="方正仿宋_GBK"/>
          <w:sz w:val="32"/>
          <w:szCs w:val="32"/>
        </w:rPr>
        <w:t>。本单位2024年度未发生公务接待费。</w:t>
      </w:r>
    </w:p>
    <w:p w14:paraId="39415755">
      <w:pPr>
        <w:pStyle w:val="9"/>
        <w:snapToGrid w:val="0"/>
        <w:spacing w:before="0" w:beforeAutospacing="0" w:after="0" w:afterAutospacing="0" w:line="596" w:lineRule="exact"/>
        <w:ind w:firstLine="643" w:firstLineChars="200"/>
        <w:jc w:val="both"/>
        <w:rPr>
          <w:rFonts w:hint="default" w:ascii="楷体" w:hAnsi="楷体" w:eastAsia="楷体" w:cs="楷体"/>
          <w:b/>
          <w:bCs/>
          <w:sz w:val="32"/>
          <w:szCs w:val="32"/>
          <w:shd w:val="clear" w:color="auto" w:fill="FFFFFF"/>
        </w:rPr>
      </w:pPr>
      <w:r>
        <w:rPr>
          <w:rFonts w:ascii="楷体" w:hAnsi="楷体" w:eastAsia="楷体" w:cs="楷体"/>
          <w:b/>
          <w:bCs/>
          <w:sz w:val="32"/>
          <w:szCs w:val="32"/>
          <w:shd w:val="clear" w:color="auto" w:fill="FFFFFF"/>
        </w:rPr>
        <w:t>（三）“三公”经费实物量情况</w:t>
      </w:r>
    </w:p>
    <w:p w14:paraId="79ED9D7F">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年度本单位因公出国（境）共计</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个团组，</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人；公务用车购置</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辆，公务车保有量为</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辆；国内公务接待</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批次</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人，其中：国内外事接待</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批次，</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人；国（境）外公务接待</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批次，</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人。</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年本单位人均接待费</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元，车均购置费</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万元，车均维护费</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万元。</w:t>
      </w:r>
    </w:p>
    <w:p w14:paraId="0363E9B5">
      <w:pPr>
        <w:pStyle w:val="9"/>
        <w:shd w:val="clear" w:color="auto" w:fill="FFFFFF"/>
        <w:spacing w:before="0" w:beforeAutospacing="0" w:after="0" w:afterAutospacing="0" w:line="596" w:lineRule="exact"/>
        <w:ind w:firstLine="643" w:firstLineChars="200"/>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四、其他需要说明的事项</w:t>
      </w:r>
    </w:p>
    <w:p w14:paraId="5D16C622">
      <w:pPr>
        <w:pStyle w:val="9"/>
        <w:shd w:val="clear" w:color="auto" w:fill="FFFFFF"/>
        <w:spacing w:before="0" w:beforeAutospacing="0" w:after="0" w:afterAutospacing="0" w:line="596" w:lineRule="exact"/>
        <w:ind w:firstLine="643" w:firstLineChars="200"/>
        <w:jc w:val="both"/>
        <w:rPr>
          <w:rFonts w:hint="default" w:ascii="楷体" w:hAnsi="楷体" w:eastAsia="楷体" w:cs="楷体"/>
          <w:b/>
          <w:bCs/>
          <w:sz w:val="32"/>
          <w:szCs w:val="32"/>
          <w:shd w:val="clear" w:color="auto" w:fill="FFFFFF"/>
        </w:rPr>
      </w:pPr>
      <w:r>
        <w:rPr>
          <w:rFonts w:ascii="楷体" w:hAnsi="楷体" w:eastAsia="楷体" w:cs="楷体"/>
          <w:b/>
          <w:bCs/>
          <w:sz w:val="32"/>
          <w:szCs w:val="32"/>
          <w:shd w:val="clear" w:color="auto" w:fill="FFFFFF"/>
        </w:rPr>
        <w:t>（一）财政拨款会议费、培训费和差旅费情况说明</w:t>
      </w:r>
    </w:p>
    <w:p w14:paraId="4C384D5A">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FF0000"/>
          <w:sz w:val="32"/>
          <w:szCs w:val="32"/>
        </w:rPr>
      </w:pPr>
      <w:r>
        <w:rPr>
          <w:rFonts w:ascii="方正仿宋_GBK" w:hAnsi="方正仿宋_GBK" w:eastAsia="方正仿宋_GBK" w:cs="方正仿宋_GBK"/>
          <w:sz w:val="32"/>
          <w:szCs w:val="32"/>
          <w:shd w:val="clear" w:color="auto" w:fill="FFFFFF"/>
        </w:rPr>
        <w:t>本年度会议费支出</w:t>
      </w:r>
      <w:r>
        <w:rPr>
          <w:rFonts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ascii="方正仿宋_GBK" w:hAnsi="方正仿宋_GBK" w:eastAsia="方正仿宋_GBK" w:cs="方正仿宋_GBK"/>
          <w:sz w:val="32"/>
          <w:szCs w:val="32"/>
          <w:shd w:val="clear" w:color="auto" w:fill="FFFFFF"/>
        </w:rPr>
        <w:t>，与上年支出持平。本年度培训费支出</w:t>
      </w:r>
      <w:r>
        <w:rPr>
          <w:rFonts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与2023年度相比，无变化</w:t>
      </w:r>
      <w:r>
        <w:rPr>
          <w:rFonts w:ascii="方正仿宋_GBK" w:hAnsi="方正仿宋_GBK" w:eastAsia="方正仿宋_GBK" w:cs="方正仿宋_GBK"/>
          <w:sz w:val="32"/>
          <w:szCs w:val="32"/>
          <w:shd w:val="clear" w:color="auto" w:fill="FFFFFF"/>
        </w:rPr>
        <w:t>，与上年支出持平。本年度差旅费支出</w:t>
      </w:r>
      <w:r>
        <w:rPr>
          <w:rFonts w:hint="default" w:ascii="Times New Roman" w:hAnsi="Times New Roman" w:eastAsia="方正仿宋_GBK"/>
          <w:sz w:val="32"/>
          <w:szCs w:val="32"/>
          <w:shd w:val="clear" w:color="auto" w:fill="FFFFFF"/>
        </w:rPr>
        <w:t>3.42</w:t>
      </w:r>
      <w:r>
        <w:rPr>
          <w:rFonts w:ascii="方正仿宋_GBK" w:hAnsi="方正仿宋_GBK" w:eastAsia="方正仿宋_GBK" w:cs="方正仿宋_GBK"/>
          <w:sz w:val="32"/>
          <w:szCs w:val="32"/>
        </w:rPr>
        <w:t>万元，</w:t>
      </w:r>
      <w:r>
        <w:rPr>
          <w:rFonts w:hint="default" w:ascii="Times New Roman" w:hAnsi="Times New Roman" w:eastAsia="方正仿宋_GBK"/>
          <w:sz w:val="32"/>
          <w:szCs w:val="32"/>
          <w:shd w:val="clear" w:color="auto" w:fill="FFFFFF"/>
        </w:rPr>
        <w:t>与2023年度相比，增加0.48万元，增长16.3%</w:t>
      </w:r>
      <w:r>
        <w:rPr>
          <w:rFonts w:ascii="方正仿宋_GBK" w:hAnsi="方正仿宋_GBK" w:eastAsia="方正仿宋_GBK" w:cs="方正仿宋_GBK"/>
          <w:sz w:val="32"/>
          <w:szCs w:val="32"/>
          <w:shd w:val="clear" w:color="auto" w:fill="FFFFFF"/>
        </w:rPr>
        <w:t>，主要原因是今年下乡检查渡口渡船情况次数比去年增加，导致安全检查差旅费增加。</w:t>
      </w:r>
    </w:p>
    <w:p w14:paraId="0B60179C">
      <w:pPr>
        <w:pStyle w:val="14"/>
        <w:autoSpaceDE w:val="0"/>
        <w:spacing w:line="596"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（二）机关运行经费情况说明</w:t>
      </w:r>
    </w:p>
    <w:p w14:paraId="0DFB8E64">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年度本单位机关运行经费支出</w:t>
      </w:r>
      <w:r>
        <w:rPr>
          <w:rFonts w:hint="default" w:ascii="Times New Roman" w:hAnsi="Times New Roman" w:eastAsia="方正仿宋_GBK"/>
          <w:sz w:val="32"/>
          <w:szCs w:val="32"/>
          <w:shd w:val="clear" w:color="auto" w:fill="FFFFFF"/>
        </w:rPr>
        <w:t>24.71</w:t>
      </w:r>
      <w:r>
        <w:rPr>
          <w:rFonts w:ascii="方正仿宋_GBK" w:hAnsi="方正仿宋_GBK" w:eastAsia="方正仿宋_GBK" w:cs="方正仿宋_GBK"/>
          <w:sz w:val="32"/>
          <w:szCs w:val="32"/>
          <w:shd w:val="clear" w:color="auto" w:fill="FFFFFF"/>
        </w:rPr>
        <w:t>万元，机关运行经费主要用于开支</w:t>
      </w:r>
      <w:r>
        <w:rPr>
          <w:rFonts w:ascii="方正仿宋_GBK" w:eastAsia="方正仿宋_GBK"/>
          <w:sz w:val="32"/>
          <w:szCs w:val="32"/>
        </w:rPr>
        <w:t>办公费、水电费、邮电费、差旅费、公务接待费、会议费、培训费、工会经费、福利费、维护（修）费、其他交通费、其他商品和服务费等。</w:t>
      </w:r>
      <w:r>
        <w:rPr>
          <w:rFonts w:ascii="方正仿宋_GBK" w:hAnsi="方正仿宋_GBK" w:eastAsia="方正仿宋_GBK" w:cs="方正仿宋_GBK"/>
          <w:sz w:val="32"/>
          <w:szCs w:val="32"/>
          <w:shd w:val="clear" w:color="auto" w:fill="FFFFFF"/>
        </w:rPr>
        <w:t>机关运行经费</w:t>
      </w:r>
      <w:r>
        <w:rPr>
          <w:rFonts w:hint="default" w:ascii="Times New Roman" w:hAnsi="Times New Roman" w:eastAsia="方正仿宋_GBK"/>
          <w:sz w:val="32"/>
          <w:szCs w:val="32"/>
          <w:shd w:val="clear" w:color="auto" w:fill="FFFFFF"/>
        </w:rPr>
        <w:t>较上年支出数增加2.53万元，增长11.4%</w:t>
      </w:r>
      <w:r>
        <w:rPr>
          <w:rFonts w:ascii="方正仿宋_GBK" w:hAnsi="方正仿宋_GBK" w:eastAsia="方正仿宋_GBK" w:cs="方正仿宋_GBK"/>
          <w:sz w:val="32"/>
          <w:szCs w:val="32"/>
          <w:shd w:val="clear" w:color="auto" w:fill="FFFFFF"/>
        </w:rPr>
        <w:t>，主要原因是今年物业管理费支出比上年度增加</w:t>
      </w:r>
      <w:r>
        <w:rPr>
          <w:rFonts w:hint="default" w:ascii="方正仿宋_GBK" w:hAnsi="方正仿宋_GBK" w:eastAsia="方正仿宋_GBK" w:cs="方正仿宋_GBK"/>
          <w:sz w:val="32"/>
          <w:szCs w:val="32"/>
          <w:shd w:val="clear" w:color="auto" w:fill="FFFFFF"/>
        </w:rPr>
        <w:t>2.1万元</w:t>
      </w:r>
      <w:r>
        <w:rPr>
          <w:rFonts w:ascii="方正仿宋_GBK" w:hAnsi="方正仿宋_GBK" w:eastAsia="方正仿宋_GBK" w:cs="方正仿宋_GBK"/>
          <w:sz w:val="32"/>
          <w:szCs w:val="32"/>
          <w:shd w:val="clear" w:color="auto" w:fill="FFFFFF"/>
        </w:rPr>
        <w:t>。</w:t>
      </w:r>
    </w:p>
    <w:p w14:paraId="4291163D">
      <w:pPr>
        <w:pStyle w:val="14"/>
        <w:autoSpaceDE w:val="0"/>
        <w:spacing w:line="596"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（三）国有资产占用情况说明</w:t>
      </w:r>
    </w:p>
    <w:p w14:paraId="2E2E0F5C">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截至</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w:t>
      </w:r>
      <w:r>
        <w:rPr>
          <w:rFonts w:hint="default" w:ascii="Times New Roman" w:hAnsi="Times New Roman" w:eastAsia="方正仿宋_GBK"/>
          <w:sz w:val="32"/>
          <w:szCs w:val="32"/>
          <w:shd w:val="clear" w:color="auto" w:fill="FFFFFF"/>
        </w:rPr>
        <w:t>12</w:t>
      </w:r>
      <w:r>
        <w:rPr>
          <w:rFonts w:ascii="方正仿宋_GBK" w:hAnsi="方正仿宋_GBK" w:eastAsia="方正仿宋_GBK" w:cs="方正仿宋_GBK"/>
          <w:sz w:val="32"/>
          <w:szCs w:val="32"/>
          <w:shd w:val="clear" w:color="auto" w:fill="FFFFFF"/>
        </w:rPr>
        <w:t>月</w:t>
      </w:r>
      <w:r>
        <w:rPr>
          <w:rFonts w:hint="default" w:ascii="Times New Roman" w:hAnsi="Times New Roman" w:eastAsia="方正仿宋_GBK"/>
          <w:sz w:val="32"/>
          <w:szCs w:val="32"/>
          <w:shd w:val="clear" w:color="auto" w:fill="FFFFFF"/>
        </w:rPr>
        <w:t>31</w:t>
      </w:r>
      <w:r>
        <w:rPr>
          <w:rFonts w:ascii="方正仿宋_GBK" w:hAnsi="方正仿宋_GBK" w:eastAsia="方正仿宋_GBK" w:cs="方正仿宋_GBK"/>
          <w:sz w:val="32"/>
          <w:szCs w:val="32"/>
          <w:shd w:val="clear" w:color="auto" w:fill="FFFFFF"/>
        </w:rPr>
        <w:t>日，本单位共有车辆</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辆，其中，副部（省）级及以上领导用车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辆、主要负责人用车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辆、机要通信用车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辆、应急保障用车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辆、执法执勤用车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辆，特种专业技术用车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辆，离退休干部用车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辆。单价</w:t>
      </w:r>
      <w:r>
        <w:rPr>
          <w:rFonts w:hint="default" w:ascii="Times New Roman" w:hAnsi="Times New Roman" w:eastAsia="方正仿宋_GBK"/>
          <w:sz w:val="32"/>
          <w:szCs w:val="32"/>
          <w:shd w:val="clear" w:color="auto" w:fill="FFFFFF"/>
        </w:rPr>
        <w:t>100</w:t>
      </w:r>
      <w:r>
        <w:rPr>
          <w:rFonts w:ascii="方正仿宋_GBK" w:hAnsi="方正仿宋_GBK" w:eastAsia="方正仿宋_GBK" w:cs="方正仿宋_GBK"/>
          <w:sz w:val="32"/>
          <w:szCs w:val="32"/>
          <w:shd w:val="clear" w:color="auto" w:fill="FFFFFF"/>
        </w:rPr>
        <w:t>万元（含）以上专用设备</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台（套）。</w:t>
      </w:r>
    </w:p>
    <w:p w14:paraId="7A56D7A4">
      <w:pPr>
        <w:pStyle w:val="14"/>
        <w:autoSpaceDE w:val="0"/>
        <w:spacing w:line="596"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（四）政府采购支出情况说明</w:t>
      </w:r>
    </w:p>
    <w:p w14:paraId="2B41583A">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bCs/>
          <w:sz w:val="32"/>
          <w:szCs w:val="32"/>
          <w:shd w:val="clear" w:color="auto" w:fill="FFFFFF"/>
        </w:rPr>
      </w:pPr>
      <w:r>
        <w:rPr>
          <w:rFonts w:ascii="Times New Roman" w:hAnsi="Times New Roman" w:eastAsia="方正仿宋_GBK"/>
          <w:bCs/>
          <w:sz w:val="32"/>
          <w:szCs w:val="32"/>
          <w:shd w:val="clear" w:color="auto" w:fill="FFFFFF"/>
        </w:rPr>
        <w:t>2024</w:t>
      </w:r>
      <w:r>
        <w:rPr>
          <w:rFonts w:ascii="方正仿宋_GBK" w:hAnsi="方正仿宋_GBK" w:eastAsia="方正仿宋_GBK" w:cs="方正仿宋_GBK"/>
          <w:bCs/>
          <w:sz w:val="32"/>
          <w:szCs w:val="32"/>
          <w:shd w:val="clear" w:color="auto" w:fill="FFFFFF"/>
        </w:rPr>
        <w:t>年度我单位未发生政府采购事项，无相关经费支出。</w:t>
      </w:r>
    </w:p>
    <w:p w14:paraId="5F118F94">
      <w:pPr>
        <w:pStyle w:val="9"/>
        <w:snapToGrid w:val="0"/>
        <w:spacing w:before="0" w:beforeAutospacing="0" w:after="0" w:afterAutospacing="0" w:line="596" w:lineRule="exact"/>
        <w:ind w:firstLine="964" w:firstLineChars="300"/>
        <w:jc w:val="both"/>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五、2024年度预算绩效管理情况说明</w:t>
      </w:r>
    </w:p>
    <w:p w14:paraId="2F754F98">
      <w:pPr>
        <w:pStyle w:val="15"/>
        <w:autoSpaceDE w:val="0"/>
        <w:spacing w:before="0" w:beforeAutospacing="0" w:after="0" w:afterAutospacing="0" w:line="596" w:lineRule="exact"/>
        <w:ind w:firstLine="643" w:firstLineChars="200"/>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（一）单位自评情况</w:t>
      </w:r>
    </w:p>
    <w:p w14:paraId="7F8D33D0">
      <w:pPr>
        <w:pStyle w:val="9"/>
        <w:shd w:val="clear" w:color="auto" w:fill="FFFFFF"/>
        <w:snapToGrid w:val="0"/>
        <w:spacing w:before="0" w:beforeAutospacing="0" w:after="0" w:afterAutospacing="0" w:line="560" w:lineRule="exact"/>
        <w:ind w:firstLine="640" w:firstLineChars="200"/>
        <w:jc w:val="both"/>
        <w:rPr>
          <w:rFonts w:hint="default" w:ascii="方正仿宋_GBK" w:eastAsia="方正仿宋_GBK"/>
          <w:sz w:val="32"/>
          <w:szCs w:val="32"/>
        </w:rPr>
      </w:pPr>
      <w:r>
        <w:rPr>
          <w:rFonts w:ascii="方正仿宋_GBK" w:hAnsi="方正仿宋_GBK" w:eastAsia="方正仿宋_GBK" w:cs="方正仿宋_GBK"/>
          <w:sz w:val="32"/>
          <w:szCs w:val="32"/>
          <w:shd w:val="clear" w:color="auto" w:fill="FFFFFF"/>
        </w:rPr>
        <w:t>根据预算绩效管理要求，我单位对1个项目开展了绩效自评。</w:t>
      </w:r>
    </w:p>
    <w:p w14:paraId="7E420973">
      <w:pPr>
        <w:ind w:firstLine="560"/>
        <w:rPr>
          <w:rFonts w:hint="default" w:ascii="方正仿宋_GBK" w:hAnsi="方正仿宋_GBK" w:eastAsia="方正仿宋_GBK" w:cs="方正仿宋_GBK"/>
          <w:sz w:val="28"/>
          <w:szCs w:val="28"/>
          <w:shd w:val="clear" w:color="auto" w:fill="FFFFFF"/>
        </w:rPr>
      </w:pPr>
      <w:r>
        <w:rPr>
          <w:rFonts w:ascii="方正仿宋_GBK" w:hAnsi="方正仿宋_GBK" w:eastAsia="方正仿宋_GBK" w:cs="方正仿宋_GBK"/>
          <w:sz w:val="28"/>
          <w:szCs w:val="28"/>
          <w:shd w:val="clear" w:color="auto" w:fill="FFFFFF"/>
        </w:rPr>
        <w:t>1.项目支出绩效自评汇总表</w:t>
      </w:r>
    </w:p>
    <w:tbl>
      <w:tblPr>
        <w:tblStyle w:val="10"/>
        <w:tblW w:w="7953" w:type="dxa"/>
        <w:tblInd w:w="93" w:type="dxa"/>
        <w:tblLayout w:type="autofit"/>
        <w:tblCellMar>
          <w:top w:w="0" w:type="dxa"/>
          <w:left w:w="108" w:type="dxa"/>
          <w:bottom w:w="0" w:type="dxa"/>
          <w:right w:w="108" w:type="dxa"/>
        </w:tblCellMar>
      </w:tblPr>
      <w:tblGrid>
        <w:gridCol w:w="580"/>
        <w:gridCol w:w="5672"/>
        <w:gridCol w:w="1701"/>
      </w:tblGrid>
      <w:tr w14:paraId="64C0E854">
        <w:tblPrEx>
          <w:tblCellMar>
            <w:top w:w="0" w:type="dxa"/>
            <w:left w:w="108" w:type="dxa"/>
            <w:bottom w:w="0" w:type="dxa"/>
            <w:right w:w="108" w:type="dxa"/>
          </w:tblCellMar>
        </w:tblPrEx>
        <w:trPr>
          <w:trHeight w:val="345" w:hRule="atLeast"/>
        </w:trPr>
        <w:tc>
          <w:tcPr>
            <w:tcW w:w="7953" w:type="dxa"/>
            <w:gridSpan w:val="3"/>
            <w:tcBorders>
              <w:top w:val="nil"/>
              <w:left w:val="nil"/>
              <w:bottom w:val="single" w:color="auto" w:sz="4" w:space="0"/>
              <w:right w:val="nil"/>
            </w:tcBorders>
            <w:shd w:val="clear" w:color="auto" w:fill="auto"/>
            <w:vAlign w:val="center"/>
          </w:tcPr>
          <w:p w14:paraId="669384EE">
            <w:pPr>
              <w:jc w:val="center"/>
              <w:rPr>
                <w:rFonts w:hint="default" w:ascii="方正仿宋_GBK" w:eastAsia="方正仿宋_GBK" w:cs="宋体"/>
                <w:b/>
                <w:color w:val="000000"/>
                <w:sz w:val="15"/>
                <w:szCs w:val="15"/>
              </w:rPr>
            </w:pPr>
          </w:p>
        </w:tc>
      </w:tr>
      <w:tr w14:paraId="21F43765">
        <w:tblPrEx>
          <w:tblCellMar>
            <w:top w:w="0" w:type="dxa"/>
            <w:left w:w="108" w:type="dxa"/>
            <w:bottom w:w="0" w:type="dxa"/>
            <w:right w:w="108" w:type="dxa"/>
          </w:tblCellMar>
        </w:tblPrEx>
        <w:trPr>
          <w:trHeight w:val="555" w:hRule="atLeast"/>
        </w:trPr>
        <w:tc>
          <w:tcPr>
            <w:tcW w:w="580" w:type="dxa"/>
            <w:tcBorders>
              <w:top w:val="nil"/>
              <w:left w:val="single" w:color="auto" w:sz="4" w:space="0"/>
              <w:bottom w:val="single" w:color="auto" w:sz="4" w:space="0"/>
              <w:right w:val="single" w:color="auto" w:sz="4" w:space="0"/>
            </w:tcBorders>
            <w:shd w:val="clear" w:color="auto" w:fill="auto"/>
            <w:vAlign w:val="center"/>
          </w:tcPr>
          <w:p w14:paraId="33841C5E">
            <w:pPr>
              <w:jc w:val="center"/>
              <w:rPr>
                <w:rFonts w:hint="default" w:ascii="方正仿宋_GBK" w:eastAsia="方正仿宋_GBK" w:cs="宋体"/>
                <w:b/>
                <w:color w:val="000000"/>
                <w:sz w:val="15"/>
                <w:szCs w:val="15"/>
              </w:rPr>
            </w:pPr>
            <w:r>
              <w:rPr>
                <w:rFonts w:ascii="方正仿宋_GBK" w:eastAsia="方正仿宋_GBK" w:cs="宋体"/>
                <w:b/>
                <w:color w:val="000000"/>
                <w:sz w:val="15"/>
                <w:szCs w:val="15"/>
              </w:rPr>
              <w:t>序号</w:t>
            </w:r>
          </w:p>
        </w:tc>
        <w:tc>
          <w:tcPr>
            <w:tcW w:w="5672" w:type="dxa"/>
            <w:tcBorders>
              <w:top w:val="nil"/>
              <w:left w:val="nil"/>
              <w:bottom w:val="single" w:color="auto" w:sz="4" w:space="0"/>
              <w:right w:val="single" w:color="auto" w:sz="4" w:space="0"/>
            </w:tcBorders>
            <w:shd w:val="clear" w:color="auto" w:fill="auto"/>
            <w:vAlign w:val="center"/>
          </w:tcPr>
          <w:p w14:paraId="36CD464C">
            <w:pPr>
              <w:jc w:val="center"/>
              <w:rPr>
                <w:rFonts w:hint="default" w:ascii="方正仿宋_GBK" w:eastAsia="方正仿宋_GBK" w:cs="宋体"/>
                <w:b/>
                <w:color w:val="000000"/>
                <w:sz w:val="15"/>
                <w:szCs w:val="15"/>
              </w:rPr>
            </w:pPr>
            <w:r>
              <w:rPr>
                <w:rFonts w:ascii="方正仿宋_GBK" w:eastAsia="方正仿宋_GBK" w:cs="宋体"/>
                <w:b/>
                <w:color w:val="000000"/>
                <w:sz w:val="15"/>
                <w:szCs w:val="15"/>
              </w:rPr>
              <w:t>项目名称</w:t>
            </w:r>
          </w:p>
        </w:tc>
        <w:tc>
          <w:tcPr>
            <w:tcW w:w="1701" w:type="dxa"/>
            <w:tcBorders>
              <w:top w:val="nil"/>
              <w:left w:val="nil"/>
              <w:bottom w:val="single" w:color="auto" w:sz="4" w:space="0"/>
              <w:right w:val="single" w:color="auto" w:sz="4" w:space="0"/>
            </w:tcBorders>
            <w:shd w:val="clear" w:color="auto" w:fill="auto"/>
            <w:noWrap/>
            <w:vAlign w:val="center"/>
          </w:tcPr>
          <w:p w14:paraId="65B732C8">
            <w:pPr>
              <w:jc w:val="center"/>
              <w:rPr>
                <w:rFonts w:hint="default" w:ascii="方正仿宋_GBK" w:eastAsia="方正仿宋_GBK" w:cs="宋体"/>
                <w:b/>
                <w:color w:val="000000"/>
                <w:sz w:val="15"/>
                <w:szCs w:val="15"/>
              </w:rPr>
            </w:pPr>
            <w:r>
              <w:rPr>
                <w:rFonts w:ascii="方正仿宋_GBK" w:eastAsia="方正仿宋_GBK" w:cs="宋体"/>
                <w:b/>
                <w:color w:val="000000"/>
                <w:sz w:val="15"/>
                <w:szCs w:val="15"/>
              </w:rPr>
              <w:t>自评得分</w:t>
            </w:r>
          </w:p>
        </w:tc>
      </w:tr>
      <w:tr w14:paraId="6204A747">
        <w:tblPrEx>
          <w:tblCellMar>
            <w:top w:w="0" w:type="dxa"/>
            <w:left w:w="108" w:type="dxa"/>
            <w:bottom w:w="0" w:type="dxa"/>
            <w:right w:w="108" w:type="dxa"/>
          </w:tblCellMar>
        </w:tblPrEx>
        <w:trPr>
          <w:trHeight w:val="555" w:hRule="atLeast"/>
        </w:trPr>
        <w:tc>
          <w:tcPr>
            <w:tcW w:w="580" w:type="dxa"/>
            <w:tcBorders>
              <w:top w:val="nil"/>
              <w:left w:val="single" w:color="auto" w:sz="4" w:space="0"/>
              <w:bottom w:val="single" w:color="auto" w:sz="4" w:space="0"/>
              <w:right w:val="single" w:color="auto" w:sz="4" w:space="0"/>
            </w:tcBorders>
            <w:shd w:val="clear" w:color="auto" w:fill="auto"/>
            <w:vAlign w:val="center"/>
          </w:tcPr>
          <w:p w14:paraId="71F5982B">
            <w:pPr>
              <w:jc w:val="center"/>
              <w:rPr>
                <w:rFonts w:hint="default" w:ascii="方正仿宋_GBK" w:hAnsi="Times New Roman" w:eastAsia="方正仿宋_GBK"/>
                <w:b/>
                <w:color w:val="000000"/>
                <w:sz w:val="15"/>
                <w:szCs w:val="15"/>
              </w:rPr>
            </w:pPr>
            <w:r>
              <w:rPr>
                <w:rFonts w:ascii="方正仿宋_GBK" w:hAnsi="Times New Roman" w:eastAsia="方正仿宋_GBK"/>
                <w:b/>
                <w:color w:val="000000"/>
                <w:sz w:val="15"/>
                <w:szCs w:val="15"/>
              </w:rPr>
              <w:t>1</w:t>
            </w:r>
          </w:p>
        </w:tc>
        <w:tc>
          <w:tcPr>
            <w:tcW w:w="5672" w:type="dxa"/>
            <w:tcBorders>
              <w:top w:val="nil"/>
              <w:left w:val="nil"/>
              <w:bottom w:val="single" w:color="auto" w:sz="4" w:space="0"/>
              <w:right w:val="single" w:color="auto" w:sz="4" w:space="0"/>
            </w:tcBorders>
            <w:shd w:val="clear" w:color="auto" w:fill="auto"/>
            <w:vAlign w:val="center"/>
          </w:tcPr>
          <w:p w14:paraId="68A314FF">
            <w:pPr>
              <w:jc w:val="center"/>
              <w:rPr>
                <w:rFonts w:hint="eastAsia" w:ascii="方正仿宋_GBK" w:hAnsi="Times New Roman" w:eastAsia="方正仿宋_GBK"/>
                <w:b/>
                <w:color w:val="000000"/>
                <w:sz w:val="15"/>
                <w:szCs w:val="15"/>
                <w:lang w:val="en-US" w:eastAsia="zh-CN"/>
              </w:rPr>
            </w:pPr>
            <w:r>
              <w:rPr>
                <w:rFonts w:ascii="方正仿宋_GBK" w:hAnsi="Times New Roman" w:eastAsia="方正仿宋_GBK"/>
                <w:b/>
                <w:color w:val="000000"/>
                <w:sz w:val="15"/>
                <w:szCs w:val="15"/>
              </w:rPr>
              <w:t>渡口渡船</w:t>
            </w:r>
            <w:r>
              <w:rPr>
                <w:rFonts w:hint="eastAsia" w:ascii="方正仿宋_GBK" w:hAnsi="Times New Roman" w:eastAsia="方正仿宋_GBK"/>
                <w:b/>
                <w:color w:val="000000"/>
                <w:sz w:val="15"/>
                <w:szCs w:val="15"/>
                <w:lang w:eastAsia="zh-CN"/>
              </w:rPr>
              <w:t>管理</w:t>
            </w:r>
          </w:p>
        </w:tc>
        <w:tc>
          <w:tcPr>
            <w:tcW w:w="1701" w:type="dxa"/>
            <w:tcBorders>
              <w:top w:val="nil"/>
              <w:left w:val="nil"/>
              <w:bottom w:val="single" w:color="auto" w:sz="4" w:space="0"/>
              <w:right w:val="single" w:color="auto" w:sz="4" w:space="0"/>
            </w:tcBorders>
            <w:shd w:val="clear" w:color="auto" w:fill="auto"/>
            <w:noWrap/>
            <w:vAlign w:val="center"/>
          </w:tcPr>
          <w:p w14:paraId="64A23649">
            <w:pPr>
              <w:jc w:val="center"/>
              <w:rPr>
                <w:rFonts w:hint="default" w:ascii="方正仿宋_GBK" w:hAnsi="Times New Roman" w:eastAsia="方正仿宋_GBK"/>
                <w:b/>
                <w:color w:val="000000"/>
                <w:sz w:val="15"/>
                <w:szCs w:val="15"/>
              </w:rPr>
            </w:pPr>
            <w:r>
              <w:rPr>
                <w:rFonts w:ascii="方正仿宋_GBK" w:hAnsi="Times New Roman" w:eastAsia="方正仿宋_GBK"/>
                <w:b/>
                <w:color w:val="000000"/>
                <w:sz w:val="15"/>
                <w:szCs w:val="15"/>
              </w:rPr>
              <w:t>100</w:t>
            </w:r>
          </w:p>
        </w:tc>
      </w:tr>
    </w:tbl>
    <w:p w14:paraId="7BD2C922">
      <w:pPr>
        <w:ind w:firstLine="560"/>
        <w:rPr>
          <w:rFonts w:hint="default" w:ascii="方正仿宋_GBK" w:hAnsi="方正仿宋_GBK" w:eastAsia="方正仿宋_GBK" w:cs="方正仿宋_GBK"/>
          <w:b/>
          <w:bCs/>
          <w:color w:val="FF0000"/>
          <w:sz w:val="32"/>
          <w:szCs w:val="32"/>
          <w:shd w:val="clear" w:color="auto" w:fill="FFFFFF"/>
        </w:rPr>
      </w:pPr>
      <w:r>
        <w:rPr>
          <w:rFonts w:ascii="方正仿宋_GBK" w:hAnsi="方正仿宋_GBK" w:eastAsia="方正仿宋_GBK" w:cs="方正仿宋_GBK"/>
          <w:sz w:val="28"/>
          <w:szCs w:val="28"/>
          <w:shd w:val="clear" w:color="auto" w:fill="FFFFFF"/>
        </w:rPr>
        <w:t>2.项目支出绩效自评表</w:t>
      </w:r>
    </w:p>
    <w:tbl>
      <w:tblPr>
        <w:tblStyle w:val="10"/>
        <w:tblW w:w="7954" w:type="dxa"/>
        <w:tblInd w:w="92" w:type="dxa"/>
        <w:tblLayout w:type="autofit"/>
        <w:tblCellMar>
          <w:top w:w="0" w:type="dxa"/>
          <w:left w:w="108" w:type="dxa"/>
          <w:bottom w:w="0" w:type="dxa"/>
          <w:right w:w="108" w:type="dxa"/>
        </w:tblCellMar>
      </w:tblPr>
      <w:tblGrid>
        <w:gridCol w:w="583"/>
        <w:gridCol w:w="453"/>
        <w:gridCol w:w="256"/>
        <w:gridCol w:w="709"/>
        <w:gridCol w:w="850"/>
        <w:gridCol w:w="63"/>
        <w:gridCol w:w="363"/>
        <w:gridCol w:w="850"/>
        <w:gridCol w:w="182"/>
        <w:gridCol w:w="669"/>
        <w:gridCol w:w="141"/>
        <w:gridCol w:w="709"/>
        <w:gridCol w:w="425"/>
        <w:gridCol w:w="284"/>
        <w:gridCol w:w="709"/>
        <w:gridCol w:w="708"/>
      </w:tblGrid>
      <w:tr w14:paraId="3BCBE2CE">
        <w:tblPrEx>
          <w:tblCellMar>
            <w:top w:w="0" w:type="dxa"/>
            <w:left w:w="108" w:type="dxa"/>
            <w:bottom w:w="0" w:type="dxa"/>
            <w:right w:w="108" w:type="dxa"/>
          </w:tblCellMar>
        </w:tblPrEx>
        <w:trPr>
          <w:trHeight w:val="540" w:hRule="atLeast"/>
        </w:trPr>
        <w:tc>
          <w:tcPr>
            <w:tcW w:w="103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80A97BB">
            <w:pPr>
              <w:jc w:val="center"/>
              <w:rPr>
                <w:rFonts w:hint="default" w:cs="宋体"/>
                <w:b/>
                <w:bCs/>
                <w:color w:val="000000"/>
                <w:sz w:val="18"/>
                <w:szCs w:val="18"/>
              </w:rPr>
            </w:pPr>
            <w:r>
              <w:rPr>
                <w:rFonts w:cs="宋体"/>
                <w:b/>
                <w:bCs/>
                <w:color w:val="000000"/>
                <w:sz w:val="18"/>
                <w:szCs w:val="18"/>
              </w:rPr>
              <w:t>项目名称：</w:t>
            </w:r>
          </w:p>
        </w:tc>
        <w:tc>
          <w:tcPr>
            <w:tcW w:w="1815" w:type="dxa"/>
            <w:gridSpan w:val="3"/>
            <w:tcBorders>
              <w:top w:val="single" w:color="auto" w:sz="4" w:space="0"/>
              <w:left w:val="nil"/>
              <w:bottom w:val="single" w:color="auto" w:sz="4" w:space="0"/>
              <w:right w:val="single" w:color="auto" w:sz="4" w:space="0"/>
            </w:tcBorders>
            <w:shd w:val="clear" w:color="auto" w:fill="auto"/>
            <w:vAlign w:val="center"/>
          </w:tcPr>
          <w:p w14:paraId="5A2C6653">
            <w:pPr>
              <w:jc w:val="center"/>
              <w:rPr>
                <w:rFonts w:hint="eastAsia" w:eastAsia="宋体" w:cs="宋体"/>
                <w:color w:val="000000"/>
                <w:sz w:val="18"/>
                <w:szCs w:val="18"/>
                <w:lang w:eastAsia="zh-CN"/>
              </w:rPr>
            </w:pPr>
            <w:r>
              <w:rPr>
                <w:rFonts w:cs="宋体"/>
                <w:color w:val="000000"/>
                <w:sz w:val="18"/>
                <w:szCs w:val="18"/>
              </w:rPr>
              <w:t>渡口渡船</w:t>
            </w:r>
            <w:r>
              <w:rPr>
                <w:rFonts w:hint="eastAsia" w:cs="宋体"/>
                <w:color w:val="000000"/>
                <w:sz w:val="18"/>
                <w:szCs w:val="18"/>
                <w:lang w:eastAsia="zh-CN"/>
              </w:rPr>
              <w:t>管理</w:t>
            </w:r>
          </w:p>
        </w:tc>
        <w:tc>
          <w:tcPr>
            <w:tcW w:w="1458" w:type="dxa"/>
            <w:gridSpan w:val="4"/>
            <w:tcBorders>
              <w:top w:val="single" w:color="auto" w:sz="4" w:space="0"/>
              <w:left w:val="nil"/>
              <w:bottom w:val="single" w:color="auto" w:sz="4" w:space="0"/>
              <w:right w:val="single" w:color="auto" w:sz="4" w:space="0"/>
            </w:tcBorders>
            <w:shd w:val="clear" w:color="auto" w:fill="auto"/>
            <w:vAlign w:val="center"/>
          </w:tcPr>
          <w:p w14:paraId="3B328FA7">
            <w:pPr>
              <w:jc w:val="center"/>
              <w:rPr>
                <w:rFonts w:hint="default" w:cs="宋体"/>
                <w:b/>
                <w:bCs/>
                <w:color w:val="000000"/>
                <w:sz w:val="18"/>
                <w:szCs w:val="18"/>
              </w:rPr>
            </w:pPr>
            <w:r>
              <w:rPr>
                <w:rFonts w:cs="宋体"/>
                <w:b/>
                <w:bCs/>
                <w:color w:val="000000"/>
                <w:sz w:val="18"/>
                <w:szCs w:val="18"/>
              </w:rPr>
              <w:t>执行率得分：</w:t>
            </w:r>
          </w:p>
        </w:tc>
        <w:tc>
          <w:tcPr>
            <w:tcW w:w="669" w:type="dxa"/>
            <w:tcBorders>
              <w:top w:val="single" w:color="auto" w:sz="4" w:space="0"/>
              <w:left w:val="nil"/>
              <w:bottom w:val="single" w:color="auto" w:sz="4" w:space="0"/>
              <w:right w:val="single" w:color="auto" w:sz="4" w:space="0"/>
            </w:tcBorders>
            <w:shd w:val="clear" w:color="auto" w:fill="auto"/>
            <w:vAlign w:val="center"/>
          </w:tcPr>
          <w:p w14:paraId="53A104B4">
            <w:pPr>
              <w:jc w:val="right"/>
              <w:rPr>
                <w:rFonts w:hint="default" w:cs="宋体"/>
                <w:b/>
                <w:bCs/>
                <w:color w:val="000000"/>
                <w:sz w:val="18"/>
                <w:szCs w:val="18"/>
              </w:rPr>
            </w:pPr>
            <w:r>
              <w:rPr>
                <w:rFonts w:cs="宋体"/>
                <w:b/>
                <w:bCs/>
                <w:color w:val="000000"/>
                <w:sz w:val="18"/>
                <w:szCs w:val="18"/>
              </w:rPr>
              <w:t>10</w:t>
            </w:r>
          </w:p>
        </w:tc>
        <w:tc>
          <w:tcPr>
            <w:tcW w:w="1275" w:type="dxa"/>
            <w:gridSpan w:val="3"/>
            <w:tcBorders>
              <w:top w:val="single" w:color="auto" w:sz="4" w:space="0"/>
              <w:left w:val="nil"/>
              <w:bottom w:val="single" w:color="auto" w:sz="4" w:space="0"/>
              <w:right w:val="single" w:color="auto" w:sz="4" w:space="0"/>
            </w:tcBorders>
            <w:shd w:val="clear" w:color="auto" w:fill="auto"/>
            <w:vAlign w:val="center"/>
          </w:tcPr>
          <w:p w14:paraId="7E010847">
            <w:pPr>
              <w:jc w:val="center"/>
              <w:rPr>
                <w:rFonts w:hint="default" w:cs="宋体"/>
                <w:b/>
                <w:bCs/>
                <w:color w:val="000000"/>
                <w:sz w:val="18"/>
                <w:szCs w:val="18"/>
              </w:rPr>
            </w:pPr>
            <w:r>
              <w:rPr>
                <w:rFonts w:cs="宋体"/>
                <w:b/>
                <w:bCs/>
                <w:color w:val="000000"/>
                <w:sz w:val="18"/>
                <w:szCs w:val="18"/>
              </w:rPr>
              <w:t>自评总分：</w:t>
            </w:r>
          </w:p>
        </w:tc>
        <w:tc>
          <w:tcPr>
            <w:tcW w:w="1701" w:type="dxa"/>
            <w:gridSpan w:val="3"/>
            <w:tcBorders>
              <w:top w:val="single" w:color="auto" w:sz="4" w:space="0"/>
              <w:left w:val="nil"/>
              <w:bottom w:val="single" w:color="auto" w:sz="4" w:space="0"/>
              <w:right w:val="single" w:color="auto" w:sz="4" w:space="0"/>
            </w:tcBorders>
            <w:shd w:val="clear" w:color="auto" w:fill="auto"/>
            <w:vAlign w:val="center"/>
          </w:tcPr>
          <w:p w14:paraId="639EFE4A">
            <w:pPr>
              <w:rPr>
                <w:rFonts w:hint="default" w:cs="宋体"/>
                <w:b/>
                <w:bCs/>
                <w:color w:val="000000"/>
                <w:sz w:val="18"/>
                <w:szCs w:val="18"/>
              </w:rPr>
            </w:pPr>
            <w:r>
              <w:rPr>
                <w:rFonts w:cs="宋体"/>
                <w:b/>
                <w:bCs/>
                <w:color w:val="000000"/>
                <w:sz w:val="18"/>
                <w:szCs w:val="18"/>
              </w:rPr>
              <w:t>　100</w:t>
            </w:r>
          </w:p>
        </w:tc>
      </w:tr>
      <w:tr w14:paraId="376525AE">
        <w:tblPrEx>
          <w:tblCellMar>
            <w:top w:w="0" w:type="dxa"/>
            <w:left w:w="108" w:type="dxa"/>
            <w:bottom w:w="0" w:type="dxa"/>
            <w:right w:w="108" w:type="dxa"/>
          </w:tblCellMar>
        </w:tblPrEx>
        <w:trPr>
          <w:trHeight w:val="435" w:hRule="atLeast"/>
        </w:trPr>
        <w:tc>
          <w:tcPr>
            <w:tcW w:w="7954" w:type="dxa"/>
            <w:gridSpan w:val="16"/>
            <w:tcBorders>
              <w:top w:val="single" w:color="auto" w:sz="4" w:space="0"/>
              <w:left w:val="single" w:color="auto" w:sz="4" w:space="0"/>
              <w:bottom w:val="single" w:color="auto" w:sz="4" w:space="0"/>
              <w:right w:val="single" w:color="auto" w:sz="4" w:space="0"/>
            </w:tcBorders>
            <w:shd w:val="clear" w:color="auto" w:fill="auto"/>
            <w:vAlign w:val="center"/>
          </w:tcPr>
          <w:p w14:paraId="4D0F4EDF">
            <w:pPr>
              <w:jc w:val="center"/>
              <w:rPr>
                <w:rFonts w:hint="default" w:ascii="微软雅黑" w:hAnsi="微软雅黑" w:eastAsia="微软雅黑" w:cs="宋体"/>
                <w:b/>
                <w:bCs/>
                <w:sz w:val="18"/>
                <w:szCs w:val="18"/>
              </w:rPr>
            </w:pPr>
            <w:r>
              <w:rPr>
                <w:rFonts w:ascii="微软雅黑" w:hAnsi="微软雅黑" w:eastAsia="微软雅黑" w:cs="宋体"/>
                <w:b/>
                <w:bCs/>
                <w:sz w:val="18"/>
                <w:szCs w:val="18"/>
              </w:rPr>
              <w:t>绩效目标</w:t>
            </w:r>
          </w:p>
        </w:tc>
      </w:tr>
      <w:tr w14:paraId="4F16BAEB">
        <w:tblPrEx>
          <w:tblCellMar>
            <w:top w:w="0" w:type="dxa"/>
            <w:left w:w="108" w:type="dxa"/>
            <w:bottom w:w="0" w:type="dxa"/>
            <w:right w:w="108" w:type="dxa"/>
          </w:tblCellMar>
        </w:tblPrEx>
        <w:trPr>
          <w:trHeight w:val="435" w:hRule="atLeast"/>
        </w:trPr>
        <w:tc>
          <w:tcPr>
            <w:tcW w:w="2914"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3FF44ABC">
            <w:pPr>
              <w:jc w:val="center"/>
              <w:rPr>
                <w:rFonts w:hint="default" w:cs="宋体"/>
                <w:b/>
                <w:bCs/>
                <w:sz w:val="18"/>
                <w:szCs w:val="18"/>
              </w:rPr>
            </w:pPr>
            <w:r>
              <w:rPr>
                <w:rFonts w:cs="宋体"/>
                <w:b/>
                <w:bCs/>
                <w:sz w:val="18"/>
                <w:szCs w:val="18"/>
              </w:rPr>
              <w:t>年初绩效目标</w:t>
            </w:r>
          </w:p>
        </w:tc>
        <w:tc>
          <w:tcPr>
            <w:tcW w:w="1395" w:type="dxa"/>
            <w:gridSpan w:val="3"/>
            <w:tcBorders>
              <w:top w:val="single" w:color="auto" w:sz="4" w:space="0"/>
              <w:left w:val="nil"/>
              <w:bottom w:val="single" w:color="auto" w:sz="4" w:space="0"/>
              <w:right w:val="single" w:color="auto" w:sz="4" w:space="0"/>
            </w:tcBorders>
            <w:shd w:val="clear" w:color="auto" w:fill="auto"/>
            <w:vAlign w:val="center"/>
          </w:tcPr>
          <w:p w14:paraId="7B7C9A3F">
            <w:pPr>
              <w:jc w:val="center"/>
              <w:rPr>
                <w:rFonts w:hint="default" w:cs="宋体"/>
                <w:b/>
                <w:bCs/>
                <w:sz w:val="18"/>
                <w:szCs w:val="18"/>
              </w:rPr>
            </w:pPr>
            <w:r>
              <w:rPr>
                <w:rFonts w:cs="宋体"/>
                <w:b/>
                <w:bCs/>
                <w:sz w:val="18"/>
                <w:szCs w:val="18"/>
              </w:rPr>
              <w:t>全年（调整）绩效目标</w:t>
            </w:r>
          </w:p>
        </w:tc>
        <w:tc>
          <w:tcPr>
            <w:tcW w:w="3645" w:type="dxa"/>
            <w:gridSpan w:val="7"/>
            <w:tcBorders>
              <w:top w:val="single" w:color="auto" w:sz="4" w:space="0"/>
              <w:left w:val="nil"/>
              <w:bottom w:val="single" w:color="auto" w:sz="4" w:space="0"/>
              <w:right w:val="single" w:color="auto" w:sz="4" w:space="0"/>
            </w:tcBorders>
            <w:shd w:val="clear" w:color="auto" w:fill="auto"/>
            <w:vAlign w:val="center"/>
          </w:tcPr>
          <w:p w14:paraId="438F3E2A">
            <w:pPr>
              <w:jc w:val="center"/>
              <w:rPr>
                <w:rFonts w:hint="default" w:cs="宋体"/>
                <w:b/>
                <w:bCs/>
                <w:sz w:val="18"/>
                <w:szCs w:val="18"/>
              </w:rPr>
            </w:pPr>
            <w:r>
              <w:rPr>
                <w:rFonts w:cs="宋体"/>
                <w:b/>
                <w:bCs/>
                <w:sz w:val="18"/>
                <w:szCs w:val="18"/>
              </w:rPr>
              <w:t>全年目标实际完成情况</w:t>
            </w:r>
          </w:p>
        </w:tc>
      </w:tr>
      <w:tr w14:paraId="02C9A5B4">
        <w:tblPrEx>
          <w:tblCellMar>
            <w:top w:w="0" w:type="dxa"/>
            <w:left w:w="108" w:type="dxa"/>
            <w:bottom w:w="0" w:type="dxa"/>
            <w:right w:w="108" w:type="dxa"/>
          </w:tblCellMar>
        </w:tblPrEx>
        <w:trPr>
          <w:trHeight w:val="975" w:hRule="atLeast"/>
        </w:trPr>
        <w:tc>
          <w:tcPr>
            <w:tcW w:w="2914" w:type="dxa"/>
            <w:gridSpan w:val="6"/>
            <w:tcBorders>
              <w:top w:val="single" w:color="auto" w:sz="4" w:space="0"/>
              <w:left w:val="single" w:color="auto" w:sz="4" w:space="0"/>
              <w:bottom w:val="single" w:color="auto" w:sz="4" w:space="0"/>
              <w:right w:val="single" w:color="auto" w:sz="4" w:space="0"/>
            </w:tcBorders>
            <w:shd w:val="clear" w:color="auto" w:fill="auto"/>
          </w:tcPr>
          <w:p w14:paraId="5510718D">
            <w:pPr>
              <w:rPr>
                <w:rFonts w:hint="default" w:cs="宋体"/>
                <w:sz w:val="18"/>
                <w:szCs w:val="18"/>
              </w:rPr>
            </w:pPr>
            <w:r>
              <w:rPr>
                <w:rFonts w:cs="宋体"/>
                <w:sz w:val="18"/>
                <w:szCs w:val="18"/>
              </w:rPr>
              <w:t>负责全区渡口渡船的行列检查指导，确保渡口渡船安全平稳运行，防止安全责任事故的发生，及时保障库区群众的正常生产 、生活及学生上学的需要.</w:t>
            </w:r>
          </w:p>
          <w:p w14:paraId="00F4B779">
            <w:pPr>
              <w:rPr>
                <w:rFonts w:hint="default" w:cs="宋体"/>
                <w:sz w:val="18"/>
                <w:szCs w:val="18"/>
              </w:rPr>
            </w:pPr>
            <w:r>
              <w:rPr>
                <w:rFonts w:cs="宋体"/>
                <w:sz w:val="18"/>
                <w:szCs w:val="18"/>
              </w:rPr>
              <w:t>　</w:t>
            </w:r>
          </w:p>
        </w:tc>
        <w:tc>
          <w:tcPr>
            <w:tcW w:w="1395" w:type="dxa"/>
            <w:gridSpan w:val="3"/>
            <w:tcBorders>
              <w:top w:val="single" w:color="auto" w:sz="4" w:space="0"/>
              <w:left w:val="nil"/>
              <w:bottom w:val="single" w:color="auto" w:sz="4" w:space="0"/>
              <w:right w:val="single" w:color="auto" w:sz="4" w:space="0"/>
            </w:tcBorders>
            <w:shd w:val="clear" w:color="auto" w:fill="auto"/>
          </w:tcPr>
          <w:p w14:paraId="7B47D0E3">
            <w:pPr>
              <w:rPr>
                <w:rFonts w:hint="default" w:cs="宋体"/>
                <w:sz w:val="18"/>
                <w:szCs w:val="18"/>
              </w:rPr>
            </w:pPr>
            <w:r>
              <w:rPr>
                <w:rFonts w:cs="宋体"/>
                <w:sz w:val="18"/>
                <w:szCs w:val="18"/>
              </w:rPr>
              <w:t>　</w:t>
            </w:r>
          </w:p>
        </w:tc>
        <w:tc>
          <w:tcPr>
            <w:tcW w:w="3645" w:type="dxa"/>
            <w:gridSpan w:val="7"/>
            <w:tcBorders>
              <w:top w:val="single" w:color="auto" w:sz="4" w:space="0"/>
              <w:left w:val="nil"/>
              <w:bottom w:val="single" w:color="auto" w:sz="4" w:space="0"/>
              <w:right w:val="single" w:color="auto" w:sz="4" w:space="0"/>
            </w:tcBorders>
            <w:shd w:val="clear" w:color="auto" w:fill="auto"/>
          </w:tcPr>
          <w:p w14:paraId="06681235">
            <w:pPr>
              <w:rPr>
                <w:rFonts w:hint="default" w:cs="宋体"/>
                <w:sz w:val="18"/>
                <w:szCs w:val="18"/>
              </w:rPr>
            </w:pPr>
            <w:r>
              <w:rPr>
                <w:rFonts w:cs="宋体"/>
                <w:sz w:val="18"/>
                <w:szCs w:val="18"/>
              </w:rPr>
              <w:t>全年按时按质按量完成了渡口渡船行列检查指导工作，无安全责任事故，及时保障库区群众的正常生产、生活的需要。　</w:t>
            </w:r>
          </w:p>
        </w:tc>
      </w:tr>
      <w:tr w14:paraId="02B7E892">
        <w:tblPrEx>
          <w:tblCellMar>
            <w:top w:w="0" w:type="dxa"/>
            <w:left w:w="108" w:type="dxa"/>
            <w:bottom w:w="0" w:type="dxa"/>
            <w:right w:w="108" w:type="dxa"/>
          </w:tblCellMar>
        </w:tblPrEx>
        <w:trPr>
          <w:trHeight w:val="435" w:hRule="atLeast"/>
        </w:trPr>
        <w:tc>
          <w:tcPr>
            <w:tcW w:w="7954" w:type="dxa"/>
            <w:gridSpan w:val="16"/>
            <w:tcBorders>
              <w:top w:val="single" w:color="auto" w:sz="4" w:space="0"/>
              <w:left w:val="single" w:color="auto" w:sz="4" w:space="0"/>
              <w:bottom w:val="single" w:color="auto" w:sz="4" w:space="0"/>
              <w:right w:val="single" w:color="auto" w:sz="4" w:space="0"/>
            </w:tcBorders>
            <w:shd w:val="clear" w:color="auto" w:fill="auto"/>
            <w:vAlign w:val="center"/>
          </w:tcPr>
          <w:p w14:paraId="24A9F99A">
            <w:pPr>
              <w:jc w:val="center"/>
              <w:rPr>
                <w:rFonts w:hint="default" w:ascii="微软雅黑" w:hAnsi="微软雅黑" w:eastAsia="微软雅黑" w:cs="宋体"/>
                <w:b/>
                <w:bCs/>
                <w:sz w:val="18"/>
                <w:szCs w:val="18"/>
              </w:rPr>
            </w:pPr>
            <w:r>
              <w:rPr>
                <w:rFonts w:ascii="微软雅黑" w:hAnsi="微软雅黑" w:eastAsia="微软雅黑" w:cs="宋体"/>
                <w:b/>
                <w:bCs/>
                <w:sz w:val="18"/>
                <w:szCs w:val="18"/>
              </w:rPr>
              <w:t>绩效指标</w:t>
            </w:r>
          </w:p>
        </w:tc>
      </w:tr>
      <w:tr w14:paraId="20F79FA2">
        <w:tblPrEx>
          <w:tblCellMar>
            <w:top w:w="0" w:type="dxa"/>
            <w:left w:w="108" w:type="dxa"/>
            <w:bottom w:w="0" w:type="dxa"/>
            <w:right w:w="108" w:type="dxa"/>
          </w:tblCellMar>
        </w:tblPrEx>
        <w:trPr>
          <w:trHeight w:val="1080" w:hRule="atLeast"/>
        </w:trPr>
        <w:tc>
          <w:tcPr>
            <w:tcW w:w="583" w:type="dxa"/>
            <w:tcBorders>
              <w:top w:val="nil"/>
              <w:left w:val="single" w:color="auto" w:sz="4" w:space="0"/>
              <w:bottom w:val="single" w:color="auto" w:sz="4" w:space="0"/>
              <w:right w:val="single" w:color="auto" w:sz="4" w:space="0"/>
            </w:tcBorders>
            <w:shd w:val="clear" w:color="auto" w:fill="auto"/>
            <w:vAlign w:val="center"/>
          </w:tcPr>
          <w:p w14:paraId="1F8DC4A1">
            <w:pPr>
              <w:jc w:val="center"/>
              <w:rPr>
                <w:rFonts w:hint="default" w:cs="宋体"/>
                <w:b/>
                <w:bCs/>
                <w:color w:val="000000"/>
                <w:sz w:val="18"/>
                <w:szCs w:val="18"/>
              </w:rPr>
            </w:pPr>
            <w:r>
              <w:rPr>
                <w:rFonts w:cs="宋体"/>
                <w:b/>
                <w:bCs/>
                <w:color w:val="000000"/>
                <w:sz w:val="18"/>
                <w:szCs w:val="18"/>
              </w:rPr>
              <w:t>指标名称</w:t>
            </w:r>
          </w:p>
        </w:tc>
        <w:tc>
          <w:tcPr>
            <w:tcW w:w="709" w:type="dxa"/>
            <w:gridSpan w:val="2"/>
            <w:tcBorders>
              <w:top w:val="nil"/>
              <w:left w:val="nil"/>
              <w:bottom w:val="single" w:color="auto" w:sz="4" w:space="0"/>
              <w:right w:val="single" w:color="auto" w:sz="4" w:space="0"/>
            </w:tcBorders>
            <w:shd w:val="clear" w:color="auto" w:fill="auto"/>
            <w:vAlign w:val="center"/>
          </w:tcPr>
          <w:p w14:paraId="7FFAC6FD">
            <w:pPr>
              <w:jc w:val="center"/>
              <w:rPr>
                <w:rFonts w:hint="default" w:cs="宋体"/>
                <w:b/>
                <w:bCs/>
                <w:color w:val="000000"/>
                <w:sz w:val="18"/>
                <w:szCs w:val="18"/>
              </w:rPr>
            </w:pPr>
            <w:r>
              <w:rPr>
                <w:rFonts w:cs="宋体"/>
                <w:b/>
                <w:bCs/>
                <w:color w:val="000000"/>
                <w:sz w:val="18"/>
                <w:szCs w:val="18"/>
              </w:rPr>
              <w:t>计量单位</w:t>
            </w:r>
          </w:p>
        </w:tc>
        <w:tc>
          <w:tcPr>
            <w:tcW w:w="709" w:type="dxa"/>
            <w:tcBorders>
              <w:top w:val="nil"/>
              <w:left w:val="nil"/>
              <w:bottom w:val="single" w:color="auto" w:sz="4" w:space="0"/>
              <w:right w:val="single" w:color="auto" w:sz="4" w:space="0"/>
            </w:tcBorders>
            <w:shd w:val="clear" w:color="auto" w:fill="auto"/>
            <w:vAlign w:val="center"/>
          </w:tcPr>
          <w:p w14:paraId="363AEF96">
            <w:pPr>
              <w:jc w:val="center"/>
              <w:rPr>
                <w:rFonts w:hint="default" w:cs="宋体"/>
                <w:b/>
                <w:bCs/>
                <w:color w:val="000000"/>
                <w:sz w:val="18"/>
                <w:szCs w:val="18"/>
              </w:rPr>
            </w:pPr>
            <w:r>
              <w:rPr>
                <w:rFonts w:cs="宋体"/>
                <w:b/>
                <w:bCs/>
                <w:color w:val="000000"/>
                <w:sz w:val="18"/>
                <w:szCs w:val="18"/>
              </w:rPr>
              <w:t>指标性质</w:t>
            </w:r>
          </w:p>
        </w:tc>
        <w:tc>
          <w:tcPr>
            <w:tcW w:w="850" w:type="dxa"/>
            <w:tcBorders>
              <w:top w:val="nil"/>
              <w:left w:val="nil"/>
              <w:bottom w:val="single" w:color="auto" w:sz="4" w:space="0"/>
              <w:right w:val="single" w:color="auto" w:sz="4" w:space="0"/>
            </w:tcBorders>
            <w:shd w:val="clear" w:color="auto" w:fill="auto"/>
            <w:vAlign w:val="center"/>
          </w:tcPr>
          <w:p w14:paraId="7D40ED59">
            <w:pPr>
              <w:jc w:val="center"/>
              <w:rPr>
                <w:rFonts w:hint="default" w:cs="宋体"/>
                <w:b/>
                <w:bCs/>
                <w:color w:val="000000"/>
                <w:sz w:val="18"/>
                <w:szCs w:val="18"/>
              </w:rPr>
            </w:pPr>
            <w:r>
              <w:rPr>
                <w:rFonts w:cs="宋体"/>
                <w:b/>
                <w:bCs/>
                <w:color w:val="000000"/>
                <w:sz w:val="18"/>
                <w:szCs w:val="18"/>
              </w:rPr>
              <w:t>指标值</w:t>
            </w:r>
          </w:p>
        </w:tc>
        <w:tc>
          <w:tcPr>
            <w:tcW w:w="426" w:type="dxa"/>
            <w:gridSpan w:val="2"/>
            <w:tcBorders>
              <w:top w:val="nil"/>
              <w:left w:val="nil"/>
              <w:bottom w:val="single" w:color="auto" w:sz="4" w:space="0"/>
              <w:right w:val="single" w:color="auto" w:sz="4" w:space="0"/>
            </w:tcBorders>
            <w:shd w:val="clear" w:color="auto" w:fill="auto"/>
            <w:vAlign w:val="center"/>
          </w:tcPr>
          <w:p w14:paraId="79E30F8C">
            <w:pPr>
              <w:jc w:val="center"/>
              <w:rPr>
                <w:rFonts w:hint="default" w:cs="宋体"/>
                <w:b/>
                <w:bCs/>
                <w:color w:val="000000"/>
                <w:sz w:val="18"/>
                <w:szCs w:val="18"/>
              </w:rPr>
            </w:pPr>
            <w:r>
              <w:rPr>
                <w:rFonts w:cs="宋体"/>
                <w:b/>
                <w:bCs/>
                <w:color w:val="000000"/>
                <w:sz w:val="18"/>
                <w:szCs w:val="18"/>
              </w:rPr>
              <w:t>全年完成值</w:t>
            </w:r>
          </w:p>
        </w:tc>
        <w:tc>
          <w:tcPr>
            <w:tcW w:w="850" w:type="dxa"/>
            <w:tcBorders>
              <w:top w:val="nil"/>
              <w:left w:val="nil"/>
              <w:bottom w:val="single" w:color="auto" w:sz="4" w:space="0"/>
              <w:right w:val="single" w:color="auto" w:sz="4" w:space="0"/>
            </w:tcBorders>
            <w:shd w:val="clear" w:color="auto" w:fill="auto"/>
            <w:vAlign w:val="center"/>
          </w:tcPr>
          <w:p w14:paraId="24E6FABB">
            <w:pPr>
              <w:jc w:val="center"/>
              <w:rPr>
                <w:rFonts w:hint="default" w:cs="宋体"/>
                <w:b/>
                <w:bCs/>
                <w:color w:val="000000"/>
                <w:sz w:val="18"/>
                <w:szCs w:val="18"/>
              </w:rPr>
            </w:pPr>
            <w:r>
              <w:rPr>
                <w:rFonts w:cs="宋体"/>
                <w:b/>
                <w:bCs/>
                <w:color w:val="000000"/>
                <w:sz w:val="18"/>
                <w:szCs w:val="18"/>
              </w:rPr>
              <w:t>偏离度（%）</w:t>
            </w:r>
          </w:p>
        </w:tc>
        <w:tc>
          <w:tcPr>
            <w:tcW w:w="992" w:type="dxa"/>
            <w:gridSpan w:val="3"/>
            <w:tcBorders>
              <w:top w:val="nil"/>
              <w:left w:val="nil"/>
              <w:bottom w:val="single" w:color="auto" w:sz="4" w:space="0"/>
              <w:right w:val="single" w:color="auto" w:sz="4" w:space="0"/>
            </w:tcBorders>
            <w:shd w:val="clear" w:color="auto" w:fill="auto"/>
            <w:vAlign w:val="center"/>
          </w:tcPr>
          <w:p w14:paraId="6F30803E">
            <w:pPr>
              <w:jc w:val="center"/>
              <w:rPr>
                <w:rFonts w:hint="default" w:cs="宋体"/>
                <w:b/>
                <w:bCs/>
                <w:color w:val="000000"/>
                <w:sz w:val="18"/>
                <w:szCs w:val="18"/>
              </w:rPr>
            </w:pPr>
            <w:r>
              <w:rPr>
                <w:rFonts w:cs="宋体"/>
                <w:b/>
                <w:bCs/>
                <w:color w:val="000000"/>
                <w:sz w:val="18"/>
                <w:szCs w:val="18"/>
              </w:rPr>
              <w:t>得分系数（%）</w:t>
            </w:r>
          </w:p>
        </w:tc>
        <w:tc>
          <w:tcPr>
            <w:tcW w:w="709" w:type="dxa"/>
            <w:tcBorders>
              <w:top w:val="nil"/>
              <w:left w:val="nil"/>
              <w:bottom w:val="single" w:color="auto" w:sz="4" w:space="0"/>
              <w:right w:val="single" w:color="auto" w:sz="4" w:space="0"/>
            </w:tcBorders>
            <w:shd w:val="clear" w:color="auto" w:fill="auto"/>
            <w:vAlign w:val="center"/>
          </w:tcPr>
          <w:p w14:paraId="7A7ECA18">
            <w:pPr>
              <w:jc w:val="center"/>
              <w:rPr>
                <w:rFonts w:hint="default" w:cs="宋体"/>
                <w:b/>
                <w:bCs/>
                <w:color w:val="000000"/>
                <w:sz w:val="18"/>
                <w:szCs w:val="18"/>
              </w:rPr>
            </w:pPr>
            <w:r>
              <w:rPr>
                <w:rFonts w:cs="宋体"/>
                <w:b/>
                <w:bCs/>
                <w:color w:val="000000"/>
                <w:sz w:val="18"/>
                <w:szCs w:val="18"/>
              </w:rPr>
              <w:t>指标权重</w:t>
            </w:r>
          </w:p>
        </w:tc>
        <w:tc>
          <w:tcPr>
            <w:tcW w:w="709" w:type="dxa"/>
            <w:gridSpan w:val="2"/>
            <w:tcBorders>
              <w:top w:val="nil"/>
              <w:left w:val="nil"/>
              <w:bottom w:val="single" w:color="auto" w:sz="4" w:space="0"/>
              <w:right w:val="single" w:color="auto" w:sz="4" w:space="0"/>
            </w:tcBorders>
            <w:shd w:val="clear" w:color="auto" w:fill="auto"/>
            <w:vAlign w:val="center"/>
          </w:tcPr>
          <w:p w14:paraId="3B6AD9D9">
            <w:pPr>
              <w:jc w:val="center"/>
              <w:rPr>
                <w:rFonts w:hint="default" w:cs="宋体"/>
                <w:b/>
                <w:bCs/>
                <w:color w:val="000000"/>
                <w:sz w:val="18"/>
                <w:szCs w:val="18"/>
              </w:rPr>
            </w:pPr>
            <w:r>
              <w:rPr>
                <w:rFonts w:cs="宋体"/>
                <w:b/>
                <w:bCs/>
                <w:color w:val="000000"/>
                <w:sz w:val="18"/>
                <w:szCs w:val="18"/>
              </w:rPr>
              <w:t>指标得分</w:t>
            </w:r>
          </w:p>
        </w:tc>
        <w:tc>
          <w:tcPr>
            <w:tcW w:w="709" w:type="dxa"/>
            <w:tcBorders>
              <w:top w:val="nil"/>
              <w:left w:val="nil"/>
              <w:bottom w:val="single" w:color="auto" w:sz="4" w:space="0"/>
              <w:right w:val="single" w:color="auto" w:sz="4" w:space="0"/>
            </w:tcBorders>
            <w:shd w:val="clear" w:color="auto" w:fill="auto"/>
            <w:vAlign w:val="center"/>
          </w:tcPr>
          <w:p w14:paraId="305E47F1">
            <w:pPr>
              <w:jc w:val="center"/>
              <w:rPr>
                <w:rFonts w:hint="default" w:cs="宋体"/>
                <w:b/>
                <w:bCs/>
                <w:color w:val="000000"/>
                <w:sz w:val="18"/>
                <w:szCs w:val="18"/>
              </w:rPr>
            </w:pPr>
            <w:r>
              <w:rPr>
                <w:rFonts w:cs="宋体"/>
                <w:b/>
                <w:bCs/>
                <w:color w:val="000000"/>
                <w:sz w:val="18"/>
                <w:szCs w:val="18"/>
              </w:rPr>
              <w:t>是否核心指标</w:t>
            </w:r>
          </w:p>
        </w:tc>
        <w:tc>
          <w:tcPr>
            <w:tcW w:w="708" w:type="dxa"/>
            <w:tcBorders>
              <w:top w:val="nil"/>
              <w:left w:val="nil"/>
              <w:bottom w:val="single" w:color="auto" w:sz="4" w:space="0"/>
              <w:right w:val="single" w:color="auto" w:sz="4" w:space="0"/>
            </w:tcBorders>
            <w:shd w:val="clear" w:color="auto" w:fill="auto"/>
            <w:vAlign w:val="center"/>
          </w:tcPr>
          <w:p w14:paraId="5861B63C">
            <w:pPr>
              <w:jc w:val="center"/>
              <w:rPr>
                <w:rFonts w:hint="default" w:cs="宋体"/>
                <w:b/>
                <w:bCs/>
                <w:color w:val="000000"/>
                <w:sz w:val="18"/>
                <w:szCs w:val="18"/>
              </w:rPr>
            </w:pPr>
            <w:r>
              <w:rPr>
                <w:rFonts w:cs="宋体"/>
                <w:b/>
                <w:bCs/>
                <w:color w:val="000000"/>
                <w:sz w:val="18"/>
                <w:szCs w:val="18"/>
              </w:rPr>
              <w:t>说明</w:t>
            </w:r>
          </w:p>
        </w:tc>
      </w:tr>
      <w:tr w14:paraId="7255779A">
        <w:tblPrEx>
          <w:tblCellMar>
            <w:top w:w="0" w:type="dxa"/>
            <w:left w:w="108" w:type="dxa"/>
            <w:bottom w:w="0" w:type="dxa"/>
            <w:right w:w="108" w:type="dxa"/>
          </w:tblCellMar>
        </w:tblPrEx>
        <w:trPr>
          <w:trHeight w:val="435" w:hRule="atLeast"/>
        </w:trPr>
        <w:tc>
          <w:tcPr>
            <w:tcW w:w="583" w:type="dxa"/>
            <w:tcBorders>
              <w:top w:val="nil"/>
              <w:left w:val="single" w:color="auto" w:sz="4" w:space="0"/>
              <w:bottom w:val="single" w:color="auto" w:sz="4" w:space="0"/>
              <w:right w:val="single" w:color="auto" w:sz="4" w:space="0"/>
            </w:tcBorders>
            <w:shd w:val="clear" w:color="auto" w:fill="auto"/>
            <w:vAlign w:val="center"/>
          </w:tcPr>
          <w:p w14:paraId="151B1D0B">
            <w:pPr>
              <w:rPr>
                <w:rFonts w:hint="default" w:cs="宋体"/>
                <w:color w:val="000000"/>
                <w:sz w:val="18"/>
                <w:szCs w:val="18"/>
              </w:rPr>
            </w:pPr>
            <w:r>
              <w:rPr>
                <w:rFonts w:cs="宋体"/>
                <w:color w:val="000000"/>
                <w:sz w:val="18"/>
                <w:szCs w:val="18"/>
              </w:rPr>
              <w:t>安全船只数量　</w:t>
            </w:r>
          </w:p>
        </w:tc>
        <w:tc>
          <w:tcPr>
            <w:tcW w:w="709" w:type="dxa"/>
            <w:gridSpan w:val="2"/>
            <w:tcBorders>
              <w:top w:val="nil"/>
              <w:left w:val="nil"/>
              <w:bottom w:val="single" w:color="auto" w:sz="4" w:space="0"/>
              <w:right w:val="single" w:color="auto" w:sz="4" w:space="0"/>
            </w:tcBorders>
            <w:shd w:val="clear" w:color="auto" w:fill="auto"/>
            <w:vAlign w:val="center"/>
          </w:tcPr>
          <w:p w14:paraId="1476F481">
            <w:pPr>
              <w:rPr>
                <w:rFonts w:hint="default" w:cs="宋体"/>
                <w:color w:val="000000"/>
                <w:sz w:val="18"/>
                <w:szCs w:val="18"/>
              </w:rPr>
            </w:pPr>
            <w:r>
              <w:rPr>
                <w:rFonts w:cs="宋体"/>
                <w:color w:val="000000"/>
                <w:sz w:val="18"/>
                <w:szCs w:val="18"/>
              </w:rPr>
              <w:t>　艘</w:t>
            </w:r>
          </w:p>
        </w:tc>
        <w:tc>
          <w:tcPr>
            <w:tcW w:w="709" w:type="dxa"/>
            <w:tcBorders>
              <w:top w:val="nil"/>
              <w:left w:val="nil"/>
              <w:bottom w:val="single" w:color="auto" w:sz="4" w:space="0"/>
              <w:right w:val="single" w:color="auto" w:sz="4" w:space="0"/>
            </w:tcBorders>
            <w:shd w:val="clear" w:color="auto" w:fill="auto"/>
            <w:vAlign w:val="center"/>
          </w:tcPr>
          <w:p w14:paraId="574ACDC9">
            <w:pPr>
              <w:keepNext w:val="0"/>
              <w:keepLines w:val="0"/>
              <w:widowControl/>
              <w:suppressLineNumbers w:val="0"/>
              <w:jc w:val="center"/>
              <w:textAlignment w:val="center"/>
              <w:rPr>
                <w:rFonts w:hint="default" w:cs="宋体"/>
                <w:color w:val="000000"/>
                <w:sz w:val="18"/>
                <w:szCs w:val="18"/>
              </w:rPr>
            </w:pPr>
            <w:r>
              <w:rPr>
                <w:rFonts w:hint="eastAsia" w:ascii="宋体" w:hAnsi="宋体" w:eastAsia="宋体" w:cs="宋体"/>
                <w:i w:val="0"/>
                <w:color w:val="000000"/>
                <w:kern w:val="0"/>
                <w:sz w:val="18"/>
                <w:szCs w:val="18"/>
                <w:u w:val="none"/>
                <w:lang w:val="en-US" w:eastAsia="zh-CN" w:bidi="ar"/>
              </w:rPr>
              <w:t>＝</w:t>
            </w:r>
          </w:p>
        </w:tc>
        <w:tc>
          <w:tcPr>
            <w:tcW w:w="850" w:type="dxa"/>
            <w:tcBorders>
              <w:top w:val="nil"/>
              <w:left w:val="nil"/>
              <w:bottom w:val="single" w:color="auto" w:sz="4" w:space="0"/>
              <w:right w:val="single" w:color="auto" w:sz="4" w:space="0"/>
            </w:tcBorders>
            <w:shd w:val="clear" w:color="auto" w:fill="auto"/>
            <w:vAlign w:val="center"/>
          </w:tcPr>
          <w:p w14:paraId="0C7A497F">
            <w:pPr>
              <w:keepNext w:val="0"/>
              <w:keepLines w:val="0"/>
              <w:widowControl/>
              <w:suppressLineNumbers w:val="0"/>
              <w:jc w:val="center"/>
              <w:textAlignment w:val="center"/>
              <w:rPr>
                <w:rFonts w:hint="default" w:cs="宋体"/>
                <w:color w:val="000000"/>
                <w:sz w:val="18"/>
                <w:szCs w:val="18"/>
                <w:highlight w:val="yellow"/>
              </w:rPr>
            </w:pPr>
            <w:r>
              <w:rPr>
                <w:rFonts w:hint="eastAsia" w:ascii="宋体" w:hAnsi="宋体" w:eastAsia="宋体" w:cs="宋体"/>
                <w:i w:val="0"/>
                <w:color w:val="000000"/>
                <w:kern w:val="0"/>
                <w:sz w:val="18"/>
                <w:szCs w:val="18"/>
                <w:u w:val="none"/>
                <w:lang w:val="en-US" w:eastAsia="zh-CN" w:bidi="ar"/>
              </w:rPr>
              <w:t>25</w:t>
            </w:r>
          </w:p>
        </w:tc>
        <w:tc>
          <w:tcPr>
            <w:tcW w:w="426" w:type="dxa"/>
            <w:gridSpan w:val="2"/>
            <w:tcBorders>
              <w:top w:val="nil"/>
              <w:left w:val="nil"/>
              <w:bottom w:val="single" w:color="auto" w:sz="4" w:space="0"/>
              <w:right w:val="single" w:color="auto" w:sz="4" w:space="0"/>
            </w:tcBorders>
            <w:shd w:val="clear" w:color="auto" w:fill="auto"/>
            <w:vAlign w:val="center"/>
          </w:tcPr>
          <w:p w14:paraId="1A6FF6AA">
            <w:pPr>
              <w:keepNext w:val="0"/>
              <w:keepLines w:val="0"/>
              <w:widowControl/>
              <w:suppressLineNumbers w:val="0"/>
              <w:jc w:val="center"/>
              <w:textAlignment w:val="center"/>
              <w:rPr>
                <w:rFonts w:hint="default" w:cs="宋体"/>
                <w:color w:val="000000"/>
                <w:sz w:val="18"/>
                <w:szCs w:val="18"/>
                <w:highlight w:val="yellow"/>
              </w:rPr>
            </w:pPr>
            <w:r>
              <w:rPr>
                <w:rFonts w:hint="eastAsia" w:ascii="宋体" w:hAnsi="宋体" w:eastAsia="宋体" w:cs="宋体"/>
                <w:i w:val="0"/>
                <w:color w:val="000000"/>
                <w:kern w:val="0"/>
                <w:sz w:val="18"/>
                <w:szCs w:val="18"/>
                <w:u w:val="none"/>
                <w:lang w:val="en-US" w:eastAsia="zh-CN" w:bidi="ar"/>
              </w:rPr>
              <w:t>25</w:t>
            </w:r>
          </w:p>
        </w:tc>
        <w:tc>
          <w:tcPr>
            <w:tcW w:w="850" w:type="dxa"/>
            <w:tcBorders>
              <w:top w:val="nil"/>
              <w:left w:val="nil"/>
              <w:bottom w:val="single" w:color="auto" w:sz="4" w:space="0"/>
              <w:right w:val="single" w:color="auto" w:sz="4" w:space="0"/>
            </w:tcBorders>
            <w:shd w:val="clear" w:color="auto" w:fill="auto"/>
            <w:vAlign w:val="center"/>
          </w:tcPr>
          <w:p w14:paraId="6AE4148E">
            <w:pPr>
              <w:keepNext w:val="0"/>
              <w:keepLines w:val="0"/>
              <w:widowControl/>
              <w:suppressLineNumbers w:val="0"/>
              <w:jc w:val="center"/>
              <w:textAlignment w:val="center"/>
              <w:rPr>
                <w:rFonts w:hint="default" w:cs="宋体"/>
                <w:color w:val="000000"/>
                <w:sz w:val="18"/>
                <w:szCs w:val="18"/>
              </w:rPr>
            </w:pPr>
            <w:r>
              <w:rPr>
                <w:rFonts w:hint="eastAsia" w:ascii="宋体" w:hAnsi="宋体" w:eastAsia="宋体" w:cs="宋体"/>
                <w:i w:val="0"/>
                <w:color w:val="000000"/>
                <w:kern w:val="0"/>
                <w:sz w:val="18"/>
                <w:szCs w:val="18"/>
                <w:u w:val="none"/>
                <w:lang w:val="en-US" w:eastAsia="zh-CN" w:bidi="ar"/>
              </w:rPr>
              <w:t>0</w:t>
            </w:r>
          </w:p>
        </w:tc>
        <w:tc>
          <w:tcPr>
            <w:tcW w:w="992" w:type="dxa"/>
            <w:gridSpan w:val="3"/>
            <w:tcBorders>
              <w:top w:val="nil"/>
              <w:left w:val="nil"/>
              <w:bottom w:val="single" w:color="auto" w:sz="4" w:space="0"/>
              <w:right w:val="single" w:color="auto" w:sz="4" w:space="0"/>
            </w:tcBorders>
            <w:shd w:val="clear" w:color="auto" w:fill="auto"/>
            <w:vAlign w:val="center"/>
          </w:tcPr>
          <w:p w14:paraId="705E7F05">
            <w:pPr>
              <w:keepNext w:val="0"/>
              <w:keepLines w:val="0"/>
              <w:widowControl/>
              <w:suppressLineNumbers w:val="0"/>
              <w:jc w:val="center"/>
              <w:textAlignment w:val="center"/>
              <w:rPr>
                <w:rFonts w:hint="default" w:cs="宋体"/>
                <w:color w:val="000000"/>
                <w:sz w:val="18"/>
                <w:szCs w:val="18"/>
              </w:rPr>
            </w:pPr>
            <w:r>
              <w:rPr>
                <w:rFonts w:hint="eastAsia" w:ascii="宋体" w:hAnsi="宋体" w:eastAsia="宋体" w:cs="宋体"/>
                <w:i w:val="0"/>
                <w:color w:val="000000"/>
                <w:kern w:val="0"/>
                <w:sz w:val="18"/>
                <w:szCs w:val="18"/>
                <w:u w:val="none"/>
                <w:lang w:val="en-US" w:eastAsia="zh-CN" w:bidi="ar"/>
              </w:rPr>
              <w:t>100</w:t>
            </w:r>
          </w:p>
        </w:tc>
        <w:tc>
          <w:tcPr>
            <w:tcW w:w="709" w:type="dxa"/>
            <w:tcBorders>
              <w:top w:val="nil"/>
              <w:left w:val="nil"/>
              <w:bottom w:val="single" w:color="auto" w:sz="4" w:space="0"/>
              <w:right w:val="single" w:color="auto" w:sz="4" w:space="0"/>
            </w:tcBorders>
            <w:shd w:val="clear" w:color="auto" w:fill="auto"/>
            <w:vAlign w:val="center"/>
          </w:tcPr>
          <w:p w14:paraId="551B353F">
            <w:pPr>
              <w:keepNext w:val="0"/>
              <w:keepLines w:val="0"/>
              <w:widowControl/>
              <w:suppressLineNumbers w:val="0"/>
              <w:jc w:val="center"/>
              <w:textAlignment w:val="center"/>
              <w:rPr>
                <w:rFonts w:hint="default" w:cs="宋体"/>
                <w:color w:val="000000"/>
                <w:sz w:val="18"/>
                <w:szCs w:val="18"/>
              </w:rPr>
            </w:pPr>
            <w:r>
              <w:rPr>
                <w:rFonts w:hint="eastAsia" w:ascii="宋体" w:hAnsi="宋体" w:eastAsia="宋体" w:cs="宋体"/>
                <w:i w:val="0"/>
                <w:color w:val="000000"/>
                <w:kern w:val="0"/>
                <w:sz w:val="18"/>
                <w:szCs w:val="18"/>
                <w:u w:val="none"/>
                <w:lang w:val="en-US" w:eastAsia="zh-CN" w:bidi="ar"/>
              </w:rPr>
              <w:t>30</w:t>
            </w:r>
          </w:p>
        </w:tc>
        <w:tc>
          <w:tcPr>
            <w:tcW w:w="709" w:type="dxa"/>
            <w:gridSpan w:val="2"/>
            <w:tcBorders>
              <w:top w:val="nil"/>
              <w:left w:val="nil"/>
              <w:bottom w:val="single" w:color="auto" w:sz="4" w:space="0"/>
              <w:right w:val="single" w:color="auto" w:sz="4" w:space="0"/>
            </w:tcBorders>
            <w:shd w:val="clear" w:color="auto" w:fill="auto"/>
            <w:vAlign w:val="center"/>
          </w:tcPr>
          <w:p w14:paraId="0A8978E5">
            <w:pPr>
              <w:keepNext w:val="0"/>
              <w:keepLines w:val="0"/>
              <w:widowControl/>
              <w:suppressLineNumbers w:val="0"/>
              <w:jc w:val="center"/>
              <w:textAlignment w:val="center"/>
              <w:rPr>
                <w:rFonts w:hint="default" w:cs="宋体"/>
                <w:color w:val="000000"/>
                <w:sz w:val="18"/>
                <w:szCs w:val="18"/>
              </w:rPr>
            </w:pPr>
            <w:r>
              <w:rPr>
                <w:rFonts w:hint="eastAsia" w:ascii="宋体" w:hAnsi="宋体" w:eastAsia="宋体" w:cs="宋体"/>
                <w:i w:val="0"/>
                <w:color w:val="000000"/>
                <w:kern w:val="0"/>
                <w:sz w:val="18"/>
                <w:szCs w:val="18"/>
                <w:u w:val="none"/>
                <w:lang w:val="en-US" w:eastAsia="zh-CN" w:bidi="ar"/>
              </w:rPr>
              <w:t>30</w:t>
            </w:r>
          </w:p>
        </w:tc>
        <w:tc>
          <w:tcPr>
            <w:tcW w:w="709" w:type="dxa"/>
            <w:tcBorders>
              <w:top w:val="nil"/>
              <w:left w:val="nil"/>
              <w:bottom w:val="single" w:color="auto" w:sz="4" w:space="0"/>
              <w:right w:val="single" w:color="auto" w:sz="4" w:space="0"/>
            </w:tcBorders>
            <w:shd w:val="clear" w:color="auto" w:fill="auto"/>
            <w:vAlign w:val="center"/>
          </w:tcPr>
          <w:p w14:paraId="18E85575">
            <w:pPr>
              <w:keepNext w:val="0"/>
              <w:keepLines w:val="0"/>
              <w:widowControl/>
              <w:suppressLineNumbers w:val="0"/>
              <w:jc w:val="center"/>
              <w:textAlignment w:val="center"/>
              <w:rPr>
                <w:rFonts w:hint="default" w:cs="宋体"/>
                <w:color w:val="000000"/>
                <w:sz w:val="18"/>
                <w:szCs w:val="18"/>
              </w:rPr>
            </w:pPr>
            <w:r>
              <w:rPr>
                <w:rFonts w:hint="eastAsia" w:ascii="宋体" w:hAnsi="宋体" w:eastAsia="宋体" w:cs="宋体"/>
                <w:i w:val="0"/>
                <w:color w:val="000000"/>
                <w:kern w:val="0"/>
                <w:sz w:val="18"/>
                <w:szCs w:val="18"/>
                <w:u w:val="none"/>
                <w:lang w:val="en-US" w:eastAsia="zh-CN" w:bidi="ar"/>
              </w:rPr>
              <w:t>是</w:t>
            </w:r>
          </w:p>
        </w:tc>
        <w:tc>
          <w:tcPr>
            <w:tcW w:w="708" w:type="dxa"/>
            <w:tcBorders>
              <w:top w:val="nil"/>
              <w:left w:val="nil"/>
              <w:bottom w:val="single" w:color="auto" w:sz="4" w:space="0"/>
              <w:right w:val="single" w:color="auto" w:sz="4" w:space="0"/>
            </w:tcBorders>
            <w:shd w:val="clear" w:color="auto" w:fill="auto"/>
            <w:vAlign w:val="center"/>
          </w:tcPr>
          <w:p w14:paraId="4BD580C2">
            <w:pPr>
              <w:rPr>
                <w:rFonts w:hint="default" w:cs="宋体"/>
                <w:color w:val="000000"/>
                <w:sz w:val="18"/>
                <w:szCs w:val="18"/>
              </w:rPr>
            </w:pPr>
            <w:r>
              <w:rPr>
                <w:rFonts w:cs="宋体"/>
                <w:color w:val="000000"/>
                <w:sz w:val="18"/>
                <w:szCs w:val="18"/>
              </w:rPr>
              <w:t>　</w:t>
            </w:r>
          </w:p>
        </w:tc>
      </w:tr>
      <w:tr w14:paraId="38AF11C8">
        <w:tblPrEx>
          <w:tblCellMar>
            <w:top w:w="0" w:type="dxa"/>
            <w:left w:w="108" w:type="dxa"/>
            <w:bottom w:w="0" w:type="dxa"/>
            <w:right w:w="108" w:type="dxa"/>
          </w:tblCellMar>
        </w:tblPrEx>
        <w:trPr>
          <w:trHeight w:val="435" w:hRule="atLeast"/>
        </w:trPr>
        <w:tc>
          <w:tcPr>
            <w:tcW w:w="583" w:type="dxa"/>
            <w:tcBorders>
              <w:top w:val="nil"/>
              <w:left w:val="single" w:color="auto" w:sz="4" w:space="0"/>
              <w:bottom w:val="single" w:color="auto" w:sz="4" w:space="0"/>
              <w:right w:val="single" w:color="auto" w:sz="4" w:space="0"/>
            </w:tcBorders>
            <w:shd w:val="clear" w:color="auto" w:fill="auto"/>
            <w:vAlign w:val="center"/>
          </w:tcPr>
          <w:p w14:paraId="116BE86E">
            <w:pPr>
              <w:rPr>
                <w:rFonts w:hint="default" w:cs="宋体"/>
                <w:color w:val="000000"/>
                <w:sz w:val="18"/>
                <w:szCs w:val="18"/>
              </w:rPr>
            </w:pPr>
            <w:r>
              <w:rPr>
                <w:rFonts w:cs="宋体"/>
                <w:color w:val="000000"/>
                <w:sz w:val="18"/>
                <w:szCs w:val="18"/>
              </w:rPr>
              <w:t>渡口数量　</w:t>
            </w:r>
          </w:p>
        </w:tc>
        <w:tc>
          <w:tcPr>
            <w:tcW w:w="709" w:type="dxa"/>
            <w:gridSpan w:val="2"/>
            <w:tcBorders>
              <w:top w:val="nil"/>
              <w:left w:val="nil"/>
              <w:bottom w:val="single" w:color="auto" w:sz="4" w:space="0"/>
              <w:right w:val="single" w:color="auto" w:sz="4" w:space="0"/>
            </w:tcBorders>
            <w:shd w:val="clear" w:color="auto" w:fill="auto"/>
            <w:vAlign w:val="center"/>
          </w:tcPr>
          <w:p w14:paraId="41944FDB">
            <w:pPr>
              <w:rPr>
                <w:rFonts w:hint="default" w:cs="宋体"/>
                <w:color w:val="000000"/>
                <w:sz w:val="18"/>
                <w:szCs w:val="18"/>
              </w:rPr>
            </w:pPr>
            <w:r>
              <w:rPr>
                <w:rFonts w:cs="宋体"/>
                <w:color w:val="000000"/>
                <w:sz w:val="18"/>
                <w:szCs w:val="18"/>
              </w:rPr>
              <w:t>　个</w:t>
            </w:r>
          </w:p>
        </w:tc>
        <w:tc>
          <w:tcPr>
            <w:tcW w:w="709" w:type="dxa"/>
            <w:tcBorders>
              <w:top w:val="nil"/>
              <w:left w:val="nil"/>
              <w:bottom w:val="single" w:color="auto" w:sz="4" w:space="0"/>
              <w:right w:val="single" w:color="auto" w:sz="4" w:space="0"/>
            </w:tcBorders>
            <w:shd w:val="clear" w:color="auto" w:fill="auto"/>
            <w:vAlign w:val="center"/>
          </w:tcPr>
          <w:p w14:paraId="4B38FE8B">
            <w:pPr>
              <w:keepNext w:val="0"/>
              <w:keepLines w:val="0"/>
              <w:widowControl/>
              <w:suppressLineNumbers w:val="0"/>
              <w:jc w:val="center"/>
              <w:textAlignment w:val="center"/>
              <w:rPr>
                <w:rFonts w:hint="default" w:cs="宋体"/>
                <w:color w:val="000000"/>
                <w:sz w:val="18"/>
                <w:szCs w:val="18"/>
              </w:rPr>
            </w:pPr>
            <w:r>
              <w:rPr>
                <w:rFonts w:hint="eastAsia" w:ascii="宋体" w:hAnsi="宋体" w:eastAsia="宋体" w:cs="宋体"/>
                <w:i w:val="0"/>
                <w:color w:val="000000"/>
                <w:kern w:val="0"/>
                <w:sz w:val="18"/>
                <w:szCs w:val="18"/>
                <w:u w:val="none"/>
                <w:lang w:val="en-US" w:eastAsia="zh-CN" w:bidi="ar"/>
              </w:rPr>
              <w:t>＝</w:t>
            </w:r>
          </w:p>
        </w:tc>
        <w:tc>
          <w:tcPr>
            <w:tcW w:w="850" w:type="dxa"/>
            <w:tcBorders>
              <w:top w:val="nil"/>
              <w:left w:val="nil"/>
              <w:bottom w:val="single" w:color="auto" w:sz="4" w:space="0"/>
              <w:right w:val="single" w:color="auto" w:sz="4" w:space="0"/>
            </w:tcBorders>
            <w:shd w:val="clear" w:color="auto" w:fill="auto"/>
            <w:vAlign w:val="center"/>
          </w:tcPr>
          <w:p w14:paraId="6FE45374">
            <w:pPr>
              <w:keepNext w:val="0"/>
              <w:keepLines w:val="0"/>
              <w:widowControl/>
              <w:suppressLineNumbers w:val="0"/>
              <w:jc w:val="center"/>
              <w:textAlignment w:val="center"/>
              <w:rPr>
                <w:rFonts w:hint="default" w:cs="宋体"/>
                <w:color w:val="000000"/>
                <w:sz w:val="18"/>
                <w:szCs w:val="18"/>
                <w:highlight w:val="yellow"/>
              </w:rPr>
            </w:pPr>
            <w:r>
              <w:rPr>
                <w:rFonts w:hint="eastAsia" w:ascii="宋体" w:hAnsi="宋体" w:eastAsia="宋体" w:cs="宋体"/>
                <w:i w:val="0"/>
                <w:color w:val="000000"/>
                <w:kern w:val="0"/>
                <w:sz w:val="18"/>
                <w:szCs w:val="18"/>
                <w:u w:val="none"/>
                <w:lang w:val="en-US" w:eastAsia="zh-CN" w:bidi="ar"/>
              </w:rPr>
              <w:t>50</w:t>
            </w:r>
          </w:p>
        </w:tc>
        <w:tc>
          <w:tcPr>
            <w:tcW w:w="426" w:type="dxa"/>
            <w:gridSpan w:val="2"/>
            <w:tcBorders>
              <w:top w:val="nil"/>
              <w:left w:val="nil"/>
              <w:bottom w:val="single" w:color="auto" w:sz="4" w:space="0"/>
              <w:right w:val="single" w:color="auto" w:sz="4" w:space="0"/>
            </w:tcBorders>
            <w:shd w:val="clear" w:color="auto" w:fill="auto"/>
            <w:vAlign w:val="center"/>
          </w:tcPr>
          <w:p w14:paraId="5EA7BAE3">
            <w:pPr>
              <w:keepNext w:val="0"/>
              <w:keepLines w:val="0"/>
              <w:widowControl/>
              <w:suppressLineNumbers w:val="0"/>
              <w:jc w:val="center"/>
              <w:textAlignment w:val="center"/>
              <w:rPr>
                <w:rFonts w:hint="default" w:cs="宋体"/>
                <w:color w:val="000000"/>
                <w:sz w:val="18"/>
                <w:szCs w:val="18"/>
                <w:highlight w:val="yellow"/>
              </w:rPr>
            </w:pPr>
            <w:r>
              <w:rPr>
                <w:rFonts w:hint="eastAsia" w:ascii="宋体" w:hAnsi="宋体" w:eastAsia="宋体" w:cs="宋体"/>
                <w:i w:val="0"/>
                <w:color w:val="000000"/>
                <w:kern w:val="0"/>
                <w:sz w:val="18"/>
                <w:szCs w:val="18"/>
                <w:u w:val="none"/>
                <w:lang w:val="en-US" w:eastAsia="zh-CN" w:bidi="ar"/>
              </w:rPr>
              <w:t>50</w:t>
            </w:r>
          </w:p>
        </w:tc>
        <w:tc>
          <w:tcPr>
            <w:tcW w:w="850" w:type="dxa"/>
            <w:tcBorders>
              <w:top w:val="nil"/>
              <w:left w:val="nil"/>
              <w:bottom w:val="single" w:color="auto" w:sz="4" w:space="0"/>
              <w:right w:val="single" w:color="auto" w:sz="4" w:space="0"/>
            </w:tcBorders>
            <w:shd w:val="clear" w:color="auto" w:fill="auto"/>
            <w:vAlign w:val="center"/>
          </w:tcPr>
          <w:p w14:paraId="6F51913B">
            <w:pPr>
              <w:keepNext w:val="0"/>
              <w:keepLines w:val="0"/>
              <w:widowControl/>
              <w:suppressLineNumbers w:val="0"/>
              <w:jc w:val="center"/>
              <w:textAlignment w:val="center"/>
              <w:rPr>
                <w:rFonts w:hint="default" w:cs="宋体"/>
                <w:color w:val="000000"/>
                <w:sz w:val="18"/>
                <w:szCs w:val="18"/>
              </w:rPr>
            </w:pPr>
            <w:r>
              <w:rPr>
                <w:rFonts w:hint="eastAsia" w:ascii="宋体" w:hAnsi="宋体" w:eastAsia="宋体" w:cs="宋体"/>
                <w:i w:val="0"/>
                <w:color w:val="000000"/>
                <w:kern w:val="0"/>
                <w:sz w:val="18"/>
                <w:szCs w:val="18"/>
                <w:u w:val="none"/>
                <w:lang w:val="en-US" w:eastAsia="zh-CN" w:bidi="ar"/>
              </w:rPr>
              <w:t>0</w:t>
            </w:r>
          </w:p>
        </w:tc>
        <w:tc>
          <w:tcPr>
            <w:tcW w:w="992" w:type="dxa"/>
            <w:gridSpan w:val="3"/>
            <w:tcBorders>
              <w:top w:val="nil"/>
              <w:left w:val="nil"/>
              <w:bottom w:val="single" w:color="auto" w:sz="4" w:space="0"/>
              <w:right w:val="single" w:color="auto" w:sz="4" w:space="0"/>
            </w:tcBorders>
            <w:shd w:val="clear" w:color="auto" w:fill="auto"/>
            <w:vAlign w:val="center"/>
          </w:tcPr>
          <w:p w14:paraId="410F4610">
            <w:pPr>
              <w:keepNext w:val="0"/>
              <w:keepLines w:val="0"/>
              <w:widowControl/>
              <w:suppressLineNumbers w:val="0"/>
              <w:jc w:val="center"/>
              <w:textAlignment w:val="center"/>
              <w:rPr>
                <w:rFonts w:hint="default" w:cs="宋体"/>
                <w:color w:val="000000"/>
                <w:sz w:val="18"/>
                <w:szCs w:val="18"/>
              </w:rPr>
            </w:pPr>
            <w:r>
              <w:rPr>
                <w:rFonts w:hint="eastAsia" w:ascii="宋体" w:hAnsi="宋体" w:eastAsia="宋体" w:cs="宋体"/>
                <w:i w:val="0"/>
                <w:color w:val="000000"/>
                <w:kern w:val="0"/>
                <w:sz w:val="18"/>
                <w:szCs w:val="18"/>
                <w:u w:val="none"/>
                <w:lang w:val="en-US" w:eastAsia="zh-CN" w:bidi="ar"/>
              </w:rPr>
              <w:t>100</w:t>
            </w:r>
          </w:p>
        </w:tc>
        <w:tc>
          <w:tcPr>
            <w:tcW w:w="709" w:type="dxa"/>
            <w:tcBorders>
              <w:top w:val="nil"/>
              <w:left w:val="nil"/>
              <w:bottom w:val="single" w:color="auto" w:sz="4" w:space="0"/>
              <w:right w:val="single" w:color="auto" w:sz="4" w:space="0"/>
            </w:tcBorders>
            <w:shd w:val="clear" w:color="auto" w:fill="auto"/>
            <w:vAlign w:val="center"/>
          </w:tcPr>
          <w:p w14:paraId="52886355">
            <w:pPr>
              <w:keepNext w:val="0"/>
              <w:keepLines w:val="0"/>
              <w:widowControl/>
              <w:suppressLineNumbers w:val="0"/>
              <w:jc w:val="center"/>
              <w:textAlignment w:val="center"/>
              <w:rPr>
                <w:rFonts w:hint="default" w:cs="宋体"/>
                <w:color w:val="000000"/>
                <w:sz w:val="18"/>
                <w:szCs w:val="18"/>
              </w:rPr>
            </w:pPr>
            <w:r>
              <w:rPr>
                <w:rFonts w:hint="eastAsia" w:ascii="宋体" w:hAnsi="宋体" w:eastAsia="宋体" w:cs="宋体"/>
                <w:i w:val="0"/>
                <w:color w:val="000000"/>
                <w:kern w:val="0"/>
                <w:sz w:val="18"/>
                <w:szCs w:val="18"/>
                <w:u w:val="none"/>
                <w:lang w:val="en-US" w:eastAsia="zh-CN" w:bidi="ar"/>
              </w:rPr>
              <w:t>30</w:t>
            </w:r>
          </w:p>
        </w:tc>
        <w:tc>
          <w:tcPr>
            <w:tcW w:w="709" w:type="dxa"/>
            <w:gridSpan w:val="2"/>
            <w:tcBorders>
              <w:top w:val="nil"/>
              <w:left w:val="nil"/>
              <w:bottom w:val="single" w:color="auto" w:sz="4" w:space="0"/>
              <w:right w:val="single" w:color="auto" w:sz="4" w:space="0"/>
            </w:tcBorders>
            <w:shd w:val="clear" w:color="auto" w:fill="auto"/>
            <w:vAlign w:val="center"/>
          </w:tcPr>
          <w:p w14:paraId="570C3A60">
            <w:pPr>
              <w:keepNext w:val="0"/>
              <w:keepLines w:val="0"/>
              <w:widowControl/>
              <w:suppressLineNumbers w:val="0"/>
              <w:jc w:val="center"/>
              <w:textAlignment w:val="center"/>
              <w:rPr>
                <w:rFonts w:hint="default" w:cs="宋体"/>
                <w:color w:val="000000"/>
                <w:sz w:val="18"/>
                <w:szCs w:val="18"/>
              </w:rPr>
            </w:pPr>
            <w:r>
              <w:rPr>
                <w:rFonts w:hint="eastAsia" w:ascii="宋体" w:hAnsi="宋体" w:eastAsia="宋体" w:cs="宋体"/>
                <w:i w:val="0"/>
                <w:color w:val="000000"/>
                <w:kern w:val="0"/>
                <w:sz w:val="18"/>
                <w:szCs w:val="18"/>
                <w:u w:val="none"/>
                <w:lang w:val="en-US" w:eastAsia="zh-CN" w:bidi="ar"/>
              </w:rPr>
              <w:t>30</w:t>
            </w:r>
          </w:p>
        </w:tc>
        <w:tc>
          <w:tcPr>
            <w:tcW w:w="709" w:type="dxa"/>
            <w:tcBorders>
              <w:top w:val="nil"/>
              <w:left w:val="nil"/>
              <w:bottom w:val="single" w:color="auto" w:sz="4" w:space="0"/>
              <w:right w:val="single" w:color="auto" w:sz="4" w:space="0"/>
            </w:tcBorders>
            <w:shd w:val="clear" w:color="auto" w:fill="auto"/>
            <w:vAlign w:val="center"/>
          </w:tcPr>
          <w:p w14:paraId="3786A27A">
            <w:pPr>
              <w:keepNext w:val="0"/>
              <w:keepLines w:val="0"/>
              <w:widowControl/>
              <w:suppressLineNumbers w:val="0"/>
              <w:jc w:val="center"/>
              <w:textAlignment w:val="center"/>
              <w:rPr>
                <w:rFonts w:hint="default" w:cs="宋体"/>
                <w:color w:val="000000"/>
                <w:sz w:val="18"/>
                <w:szCs w:val="18"/>
              </w:rPr>
            </w:pPr>
            <w:r>
              <w:rPr>
                <w:rFonts w:hint="eastAsia" w:ascii="宋体" w:hAnsi="宋体" w:eastAsia="宋体" w:cs="宋体"/>
                <w:i w:val="0"/>
                <w:color w:val="000000"/>
                <w:kern w:val="0"/>
                <w:sz w:val="18"/>
                <w:szCs w:val="18"/>
                <w:u w:val="none"/>
                <w:lang w:val="en-US" w:eastAsia="zh-CN" w:bidi="ar"/>
              </w:rPr>
              <w:t>是</w:t>
            </w:r>
          </w:p>
        </w:tc>
        <w:tc>
          <w:tcPr>
            <w:tcW w:w="708" w:type="dxa"/>
            <w:tcBorders>
              <w:top w:val="nil"/>
              <w:left w:val="nil"/>
              <w:bottom w:val="single" w:color="auto" w:sz="4" w:space="0"/>
              <w:right w:val="single" w:color="auto" w:sz="4" w:space="0"/>
            </w:tcBorders>
            <w:shd w:val="clear" w:color="auto" w:fill="auto"/>
            <w:vAlign w:val="center"/>
          </w:tcPr>
          <w:p w14:paraId="7D7BCC38">
            <w:pPr>
              <w:rPr>
                <w:rFonts w:hint="default" w:cs="宋体"/>
                <w:color w:val="000000"/>
                <w:sz w:val="18"/>
                <w:szCs w:val="18"/>
              </w:rPr>
            </w:pPr>
            <w:r>
              <w:rPr>
                <w:rFonts w:cs="宋体"/>
                <w:color w:val="000000"/>
                <w:sz w:val="18"/>
                <w:szCs w:val="18"/>
              </w:rPr>
              <w:t>　</w:t>
            </w:r>
          </w:p>
        </w:tc>
      </w:tr>
      <w:tr w14:paraId="54E51044">
        <w:tblPrEx>
          <w:tblCellMar>
            <w:top w:w="0" w:type="dxa"/>
            <w:left w:w="108" w:type="dxa"/>
            <w:bottom w:w="0" w:type="dxa"/>
            <w:right w:w="108" w:type="dxa"/>
          </w:tblCellMar>
        </w:tblPrEx>
        <w:trPr>
          <w:trHeight w:val="906" w:hRule="atLeast"/>
        </w:trPr>
        <w:tc>
          <w:tcPr>
            <w:tcW w:w="583" w:type="dxa"/>
            <w:tcBorders>
              <w:top w:val="nil"/>
              <w:left w:val="single" w:color="auto" w:sz="4" w:space="0"/>
              <w:bottom w:val="single" w:color="auto" w:sz="4" w:space="0"/>
              <w:right w:val="single" w:color="auto" w:sz="4" w:space="0"/>
            </w:tcBorders>
            <w:shd w:val="clear" w:color="auto" w:fill="auto"/>
            <w:vAlign w:val="center"/>
          </w:tcPr>
          <w:p w14:paraId="5B85E0DB">
            <w:pPr>
              <w:rPr>
                <w:rFonts w:hint="default" w:cs="宋体"/>
                <w:color w:val="000000"/>
                <w:sz w:val="18"/>
                <w:szCs w:val="18"/>
              </w:rPr>
            </w:pPr>
            <w:r>
              <w:rPr>
                <w:rFonts w:cs="宋体"/>
                <w:color w:val="000000"/>
                <w:sz w:val="18"/>
                <w:szCs w:val="18"/>
              </w:rPr>
              <w:t>受益出行人数　</w:t>
            </w:r>
          </w:p>
        </w:tc>
        <w:tc>
          <w:tcPr>
            <w:tcW w:w="709" w:type="dxa"/>
            <w:gridSpan w:val="2"/>
            <w:tcBorders>
              <w:top w:val="nil"/>
              <w:left w:val="nil"/>
              <w:bottom w:val="single" w:color="auto" w:sz="4" w:space="0"/>
              <w:right w:val="single" w:color="auto" w:sz="4" w:space="0"/>
            </w:tcBorders>
            <w:shd w:val="clear" w:color="auto" w:fill="auto"/>
            <w:vAlign w:val="center"/>
          </w:tcPr>
          <w:p w14:paraId="5267EF4A">
            <w:pPr>
              <w:rPr>
                <w:rFonts w:hint="default" w:cs="宋体"/>
                <w:color w:val="000000"/>
                <w:sz w:val="18"/>
                <w:szCs w:val="18"/>
              </w:rPr>
            </w:pPr>
            <w:r>
              <w:rPr>
                <w:sz w:val="18"/>
                <w:szCs w:val="18"/>
              </w:rPr>
              <w:t>万人次</w:t>
            </w:r>
          </w:p>
        </w:tc>
        <w:tc>
          <w:tcPr>
            <w:tcW w:w="709" w:type="dxa"/>
            <w:tcBorders>
              <w:top w:val="nil"/>
              <w:left w:val="nil"/>
              <w:bottom w:val="single" w:color="auto" w:sz="4" w:space="0"/>
              <w:right w:val="single" w:color="auto" w:sz="4" w:space="0"/>
            </w:tcBorders>
            <w:shd w:val="clear" w:color="auto" w:fill="auto"/>
            <w:vAlign w:val="center"/>
          </w:tcPr>
          <w:p w14:paraId="74C4ED68">
            <w:pPr>
              <w:keepNext w:val="0"/>
              <w:keepLines w:val="0"/>
              <w:widowControl/>
              <w:suppressLineNumbers w:val="0"/>
              <w:jc w:val="center"/>
              <w:textAlignment w:val="center"/>
              <w:rPr>
                <w:rFonts w:hint="default" w:cs="宋体"/>
                <w:color w:val="000000"/>
                <w:sz w:val="18"/>
                <w:szCs w:val="18"/>
              </w:rPr>
            </w:pPr>
            <w:r>
              <w:rPr>
                <w:rFonts w:hint="eastAsia" w:ascii="宋体" w:hAnsi="宋体" w:eastAsia="宋体" w:cs="宋体"/>
                <w:i w:val="0"/>
                <w:color w:val="000000"/>
                <w:kern w:val="0"/>
                <w:sz w:val="18"/>
                <w:szCs w:val="18"/>
                <w:u w:val="none"/>
                <w:lang w:val="en-US" w:eastAsia="zh-CN" w:bidi="ar"/>
              </w:rPr>
              <w:t>＞</w:t>
            </w:r>
          </w:p>
        </w:tc>
        <w:tc>
          <w:tcPr>
            <w:tcW w:w="850" w:type="dxa"/>
            <w:tcBorders>
              <w:top w:val="nil"/>
              <w:left w:val="nil"/>
              <w:bottom w:val="single" w:color="auto" w:sz="4" w:space="0"/>
              <w:right w:val="single" w:color="auto" w:sz="4" w:space="0"/>
            </w:tcBorders>
            <w:shd w:val="clear" w:color="auto" w:fill="auto"/>
            <w:vAlign w:val="center"/>
          </w:tcPr>
          <w:p w14:paraId="777A9D73">
            <w:pPr>
              <w:keepNext w:val="0"/>
              <w:keepLines w:val="0"/>
              <w:widowControl/>
              <w:suppressLineNumbers w:val="0"/>
              <w:jc w:val="center"/>
              <w:textAlignment w:val="center"/>
              <w:rPr>
                <w:rFonts w:hint="default" w:cs="宋体"/>
                <w:color w:val="000000"/>
                <w:sz w:val="18"/>
                <w:szCs w:val="18"/>
                <w:highlight w:val="yellow"/>
              </w:rPr>
            </w:pPr>
            <w:r>
              <w:rPr>
                <w:rFonts w:hint="eastAsia" w:ascii="宋体" w:hAnsi="宋体" w:eastAsia="宋体" w:cs="宋体"/>
                <w:i w:val="0"/>
                <w:color w:val="000000"/>
                <w:kern w:val="0"/>
                <w:sz w:val="18"/>
                <w:szCs w:val="18"/>
                <w:u w:val="none"/>
                <w:lang w:val="en-US" w:eastAsia="zh-CN" w:bidi="ar"/>
              </w:rPr>
              <w:t>20</w:t>
            </w:r>
          </w:p>
        </w:tc>
        <w:tc>
          <w:tcPr>
            <w:tcW w:w="426" w:type="dxa"/>
            <w:gridSpan w:val="2"/>
            <w:tcBorders>
              <w:top w:val="nil"/>
              <w:left w:val="nil"/>
              <w:bottom w:val="single" w:color="auto" w:sz="4" w:space="0"/>
              <w:right w:val="single" w:color="auto" w:sz="4" w:space="0"/>
            </w:tcBorders>
            <w:shd w:val="clear" w:color="auto" w:fill="auto"/>
            <w:vAlign w:val="center"/>
          </w:tcPr>
          <w:p w14:paraId="42944F86">
            <w:pPr>
              <w:keepNext w:val="0"/>
              <w:keepLines w:val="0"/>
              <w:widowControl/>
              <w:suppressLineNumbers w:val="0"/>
              <w:jc w:val="center"/>
              <w:textAlignment w:val="center"/>
              <w:rPr>
                <w:rFonts w:hint="default" w:cs="宋体"/>
                <w:color w:val="000000"/>
                <w:sz w:val="18"/>
                <w:szCs w:val="18"/>
                <w:highlight w:val="yellow"/>
              </w:rPr>
            </w:pPr>
            <w:r>
              <w:rPr>
                <w:rFonts w:hint="eastAsia" w:ascii="宋体" w:hAnsi="宋体" w:eastAsia="宋体" w:cs="宋体"/>
                <w:i w:val="0"/>
                <w:color w:val="000000"/>
                <w:kern w:val="0"/>
                <w:sz w:val="18"/>
                <w:szCs w:val="18"/>
                <w:u w:val="none"/>
                <w:lang w:val="en-US" w:eastAsia="zh-CN" w:bidi="ar"/>
              </w:rPr>
              <w:t>20</w:t>
            </w:r>
          </w:p>
        </w:tc>
        <w:tc>
          <w:tcPr>
            <w:tcW w:w="850" w:type="dxa"/>
            <w:tcBorders>
              <w:top w:val="nil"/>
              <w:left w:val="nil"/>
              <w:bottom w:val="single" w:color="auto" w:sz="4" w:space="0"/>
              <w:right w:val="single" w:color="auto" w:sz="4" w:space="0"/>
            </w:tcBorders>
            <w:shd w:val="clear" w:color="auto" w:fill="auto"/>
            <w:vAlign w:val="center"/>
          </w:tcPr>
          <w:p w14:paraId="309A6540">
            <w:pPr>
              <w:keepNext w:val="0"/>
              <w:keepLines w:val="0"/>
              <w:widowControl/>
              <w:suppressLineNumbers w:val="0"/>
              <w:jc w:val="center"/>
              <w:textAlignment w:val="center"/>
              <w:rPr>
                <w:rFonts w:hint="default" w:cs="宋体"/>
                <w:color w:val="000000"/>
                <w:sz w:val="18"/>
                <w:szCs w:val="18"/>
              </w:rPr>
            </w:pPr>
            <w:r>
              <w:rPr>
                <w:rFonts w:hint="eastAsia" w:ascii="宋体" w:hAnsi="宋体" w:eastAsia="宋体" w:cs="宋体"/>
                <w:i w:val="0"/>
                <w:color w:val="000000"/>
                <w:kern w:val="0"/>
                <w:sz w:val="18"/>
                <w:szCs w:val="18"/>
                <w:u w:val="none"/>
                <w:lang w:val="en-US" w:eastAsia="zh-CN" w:bidi="ar"/>
              </w:rPr>
              <w:t>0</w:t>
            </w:r>
          </w:p>
        </w:tc>
        <w:tc>
          <w:tcPr>
            <w:tcW w:w="992" w:type="dxa"/>
            <w:gridSpan w:val="3"/>
            <w:tcBorders>
              <w:top w:val="nil"/>
              <w:left w:val="nil"/>
              <w:bottom w:val="single" w:color="auto" w:sz="4" w:space="0"/>
              <w:right w:val="single" w:color="auto" w:sz="4" w:space="0"/>
            </w:tcBorders>
            <w:shd w:val="clear" w:color="auto" w:fill="auto"/>
            <w:vAlign w:val="center"/>
          </w:tcPr>
          <w:p w14:paraId="493160C3">
            <w:pPr>
              <w:keepNext w:val="0"/>
              <w:keepLines w:val="0"/>
              <w:widowControl/>
              <w:suppressLineNumbers w:val="0"/>
              <w:jc w:val="center"/>
              <w:textAlignment w:val="center"/>
              <w:rPr>
                <w:rFonts w:hint="default" w:cs="宋体"/>
                <w:color w:val="000000"/>
                <w:sz w:val="18"/>
                <w:szCs w:val="18"/>
              </w:rPr>
            </w:pPr>
            <w:r>
              <w:rPr>
                <w:rFonts w:hint="eastAsia" w:ascii="宋体" w:hAnsi="宋体" w:eastAsia="宋体" w:cs="宋体"/>
                <w:i w:val="0"/>
                <w:color w:val="000000"/>
                <w:kern w:val="0"/>
                <w:sz w:val="18"/>
                <w:szCs w:val="18"/>
                <w:u w:val="none"/>
                <w:lang w:val="en-US" w:eastAsia="zh-CN" w:bidi="ar"/>
              </w:rPr>
              <w:t>100</w:t>
            </w:r>
          </w:p>
        </w:tc>
        <w:tc>
          <w:tcPr>
            <w:tcW w:w="709" w:type="dxa"/>
            <w:tcBorders>
              <w:top w:val="nil"/>
              <w:left w:val="nil"/>
              <w:bottom w:val="single" w:color="auto" w:sz="4" w:space="0"/>
              <w:right w:val="single" w:color="auto" w:sz="4" w:space="0"/>
            </w:tcBorders>
            <w:shd w:val="clear" w:color="auto" w:fill="auto"/>
            <w:vAlign w:val="center"/>
          </w:tcPr>
          <w:p w14:paraId="6E1D1DD3">
            <w:pPr>
              <w:keepNext w:val="0"/>
              <w:keepLines w:val="0"/>
              <w:widowControl/>
              <w:suppressLineNumbers w:val="0"/>
              <w:jc w:val="center"/>
              <w:textAlignment w:val="center"/>
              <w:rPr>
                <w:rFonts w:hint="default" w:cs="宋体"/>
                <w:color w:val="000000"/>
                <w:sz w:val="18"/>
                <w:szCs w:val="18"/>
              </w:rPr>
            </w:pPr>
            <w:r>
              <w:rPr>
                <w:rFonts w:hint="eastAsia" w:ascii="宋体" w:hAnsi="宋体" w:eastAsia="宋体" w:cs="宋体"/>
                <w:i w:val="0"/>
                <w:color w:val="000000"/>
                <w:kern w:val="0"/>
                <w:sz w:val="18"/>
                <w:szCs w:val="18"/>
                <w:u w:val="none"/>
                <w:lang w:val="en-US" w:eastAsia="zh-CN" w:bidi="ar"/>
              </w:rPr>
              <w:t>20</w:t>
            </w:r>
          </w:p>
        </w:tc>
        <w:tc>
          <w:tcPr>
            <w:tcW w:w="709" w:type="dxa"/>
            <w:gridSpan w:val="2"/>
            <w:tcBorders>
              <w:top w:val="nil"/>
              <w:left w:val="nil"/>
              <w:bottom w:val="single" w:color="auto" w:sz="4" w:space="0"/>
              <w:right w:val="single" w:color="auto" w:sz="4" w:space="0"/>
            </w:tcBorders>
            <w:shd w:val="clear" w:color="auto" w:fill="auto"/>
            <w:vAlign w:val="center"/>
          </w:tcPr>
          <w:p w14:paraId="220494BC">
            <w:pPr>
              <w:keepNext w:val="0"/>
              <w:keepLines w:val="0"/>
              <w:widowControl/>
              <w:suppressLineNumbers w:val="0"/>
              <w:jc w:val="center"/>
              <w:textAlignment w:val="center"/>
              <w:rPr>
                <w:rFonts w:hint="default" w:cs="宋体"/>
                <w:color w:val="000000"/>
                <w:sz w:val="18"/>
                <w:szCs w:val="18"/>
              </w:rPr>
            </w:pPr>
            <w:r>
              <w:rPr>
                <w:rFonts w:hint="eastAsia" w:ascii="宋体" w:hAnsi="宋体" w:eastAsia="宋体" w:cs="宋体"/>
                <w:i w:val="0"/>
                <w:color w:val="000000"/>
                <w:kern w:val="0"/>
                <w:sz w:val="18"/>
                <w:szCs w:val="18"/>
                <w:u w:val="none"/>
                <w:lang w:val="en-US" w:eastAsia="zh-CN" w:bidi="ar"/>
              </w:rPr>
              <w:t>20</w:t>
            </w:r>
          </w:p>
        </w:tc>
        <w:tc>
          <w:tcPr>
            <w:tcW w:w="709" w:type="dxa"/>
            <w:tcBorders>
              <w:top w:val="nil"/>
              <w:left w:val="nil"/>
              <w:bottom w:val="single" w:color="auto" w:sz="4" w:space="0"/>
              <w:right w:val="single" w:color="auto" w:sz="4" w:space="0"/>
            </w:tcBorders>
            <w:shd w:val="clear" w:color="auto" w:fill="auto"/>
            <w:vAlign w:val="center"/>
          </w:tcPr>
          <w:p w14:paraId="2D10B736">
            <w:pPr>
              <w:keepNext w:val="0"/>
              <w:keepLines w:val="0"/>
              <w:widowControl/>
              <w:suppressLineNumbers w:val="0"/>
              <w:jc w:val="center"/>
              <w:textAlignment w:val="center"/>
              <w:rPr>
                <w:rFonts w:hint="default" w:cs="宋体"/>
                <w:color w:val="000000"/>
                <w:sz w:val="18"/>
                <w:szCs w:val="18"/>
              </w:rPr>
            </w:pPr>
            <w:r>
              <w:rPr>
                <w:rFonts w:hint="eastAsia" w:ascii="宋体" w:hAnsi="宋体" w:eastAsia="宋体" w:cs="宋体"/>
                <w:i w:val="0"/>
                <w:color w:val="000000"/>
                <w:kern w:val="0"/>
                <w:sz w:val="18"/>
                <w:szCs w:val="18"/>
                <w:u w:val="none"/>
                <w:lang w:val="en-US" w:eastAsia="zh-CN" w:bidi="ar"/>
              </w:rPr>
              <w:t>否</w:t>
            </w:r>
          </w:p>
        </w:tc>
        <w:tc>
          <w:tcPr>
            <w:tcW w:w="708" w:type="dxa"/>
            <w:tcBorders>
              <w:top w:val="nil"/>
              <w:left w:val="nil"/>
              <w:bottom w:val="single" w:color="auto" w:sz="4" w:space="0"/>
              <w:right w:val="single" w:color="auto" w:sz="4" w:space="0"/>
            </w:tcBorders>
            <w:shd w:val="clear" w:color="auto" w:fill="auto"/>
            <w:vAlign w:val="center"/>
          </w:tcPr>
          <w:p w14:paraId="26FAA83B">
            <w:pPr>
              <w:rPr>
                <w:rFonts w:hint="default" w:cs="宋体"/>
                <w:color w:val="000000"/>
                <w:sz w:val="18"/>
                <w:szCs w:val="18"/>
              </w:rPr>
            </w:pPr>
          </w:p>
        </w:tc>
      </w:tr>
      <w:tr w14:paraId="42A6FBCA">
        <w:tblPrEx>
          <w:tblCellMar>
            <w:top w:w="0" w:type="dxa"/>
            <w:left w:w="108" w:type="dxa"/>
            <w:bottom w:w="0" w:type="dxa"/>
            <w:right w:w="108" w:type="dxa"/>
          </w:tblCellMar>
        </w:tblPrEx>
        <w:trPr>
          <w:trHeight w:val="435" w:hRule="atLeast"/>
        </w:trPr>
        <w:tc>
          <w:tcPr>
            <w:tcW w:w="583" w:type="dxa"/>
            <w:tcBorders>
              <w:top w:val="nil"/>
              <w:left w:val="single" w:color="auto" w:sz="4" w:space="0"/>
              <w:bottom w:val="single" w:color="auto" w:sz="4" w:space="0"/>
              <w:right w:val="single" w:color="auto" w:sz="4" w:space="0"/>
            </w:tcBorders>
            <w:shd w:val="clear" w:color="auto" w:fill="auto"/>
            <w:vAlign w:val="center"/>
          </w:tcPr>
          <w:p w14:paraId="63376083">
            <w:pPr>
              <w:rPr>
                <w:rFonts w:hint="default" w:cs="宋体"/>
                <w:color w:val="000000"/>
                <w:sz w:val="18"/>
                <w:szCs w:val="18"/>
              </w:rPr>
            </w:pPr>
            <w:r>
              <w:rPr>
                <w:rFonts w:cs="宋体"/>
                <w:color w:val="000000"/>
                <w:sz w:val="18"/>
                <w:szCs w:val="18"/>
              </w:rPr>
              <w:t>受益群众满意率　</w:t>
            </w:r>
          </w:p>
        </w:tc>
        <w:tc>
          <w:tcPr>
            <w:tcW w:w="709" w:type="dxa"/>
            <w:gridSpan w:val="2"/>
            <w:tcBorders>
              <w:top w:val="nil"/>
              <w:left w:val="nil"/>
              <w:bottom w:val="single" w:color="auto" w:sz="4" w:space="0"/>
              <w:right w:val="single" w:color="auto" w:sz="4" w:space="0"/>
            </w:tcBorders>
            <w:shd w:val="clear" w:color="auto" w:fill="auto"/>
            <w:vAlign w:val="center"/>
          </w:tcPr>
          <w:p w14:paraId="34E63FA2">
            <w:pPr>
              <w:rPr>
                <w:rFonts w:hint="default" w:cs="宋体"/>
                <w:color w:val="000000"/>
                <w:sz w:val="18"/>
                <w:szCs w:val="18"/>
              </w:rPr>
            </w:pPr>
            <w:r>
              <w:rPr>
                <w:rFonts w:cs="宋体"/>
                <w:color w:val="000000"/>
                <w:sz w:val="18"/>
                <w:szCs w:val="18"/>
              </w:rPr>
              <w:t>　%</w:t>
            </w:r>
          </w:p>
        </w:tc>
        <w:tc>
          <w:tcPr>
            <w:tcW w:w="709" w:type="dxa"/>
            <w:tcBorders>
              <w:top w:val="nil"/>
              <w:left w:val="nil"/>
              <w:bottom w:val="single" w:color="auto" w:sz="4" w:space="0"/>
              <w:right w:val="single" w:color="auto" w:sz="4" w:space="0"/>
            </w:tcBorders>
            <w:shd w:val="clear" w:color="auto" w:fill="auto"/>
            <w:vAlign w:val="center"/>
          </w:tcPr>
          <w:p w14:paraId="5922E77A">
            <w:pPr>
              <w:keepNext w:val="0"/>
              <w:keepLines w:val="0"/>
              <w:widowControl/>
              <w:suppressLineNumbers w:val="0"/>
              <w:jc w:val="center"/>
              <w:textAlignment w:val="center"/>
              <w:rPr>
                <w:rFonts w:hint="default" w:cs="宋体"/>
                <w:color w:val="000000"/>
                <w:sz w:val="18"/>
                <w:szCs w:val="18"/>
              </w:rPr>
            </w:pPr>
            <w:r>
              <w:rPr>
                <w:rFonts w:hint="eastAsia" w:ascii="宋体" w:hAnsi="宋体" w:eastAsia="宋体" w:cs="宋体"/>
                <w:i w:val="0"/>
                <w:color w:val="000000"/>
                <w:kern w:val="0"/>
                <w:sz w:val="18"/>
                <w:szCs w:val="18"/>
                <w:u w:val="none"/>
                <w:lang w:val="en-US" w:eastAsia="zh-CN" w:bidi="ar"/>
              </w:rPr>
              <w:t>＞</w:t>
            </w:r>
          </w:p>
        </w:tc>
        <w:tc>
          <w:tcPr>
            <w:tcW w:w="850" w:type="dxa"/>
            <w:tcBorders>
              <w:top w:val="nil"/>
              <w:left w:val="nil"/>
              <w:bottom w:val="single" w:color="auto" w:sz="4" w:space="0"/>
              <w:right w:val="single" w:color="auto" w:sz="4" w:space="0"/>
            </w:tcBorders>
            <w:shd w:val="clear" w:color="auto" w:fill="auto"/>
            <w:vAlign w:val="center"/>
          </w:tcPr>
          <w:p w14:paraId="2AF20F76">
            <w:pPr>
              <w:keepNext w:val="0"/>
              <w:keepLines w:val="0"/>
              <w:widowControl/>
              <w:suppressLineNumbers w:val="0"/>
              <w:jc w:val="center"/>
              <w:textAlignment w:val="center"/>
              <w:rPr>
                <w:rFonts w:hint="default" w:cs="宋体"/>
                <w:color w:val="000000"/>
                <w:sz w:val="18"/>
                <w:szCs w:val="18"/>
              </w:rPr>
            </w:pPr>
            <w:r>
              <w:rPr>
                <w:rFonts w:hint="eastAsia" w:ascii="宋体" w:hAnsi="宋体" w:eastAsia="宋体" w:cs="宋体"/>
                <w:i w:val="0"/>
                <w:color w:val="000000"/>
                <w:kern w:val="0"/>
                <w:sz w:val="18"/>
                <w:szCs w:val="18"/>
                <w:u w:val="none"/>
                <w:lang w:val="en-US" w:eastAsia="zh-CN" w:bidi="ar"/>
              </w:rPr>
              <w:t>93</w:t>
            </w:r>
          </w:p>
        </w:tc>
        <w:tc>
          <w:tcPr>
            <w:tcW w:w="426" w:type="dxa"/>
            <w:gridSpan w:val="2"/>
            <w:tcBorders>
              <w:top w:val="nil"/>
              <w:left w:val="nil"/>
              <w:bottom w:val="single" w:color="auto" w:sz="4" w:space="0"/>
              <w:right w:val="single" w:color="auto" w:sz="4" w:space="0"/>
            </w:tcBorders>
            <w:shd w:val="clear" w:color="auto" w:fill="auto"/>
            <w:vAlign w:val="center"/>
          </w:tcPr>
          <w:p w14:paraId="7A8C361F">
            <w:pPr>
              <w:keepNext w:val="0"/>
              <w:keepLines w:val="0"/>
              <w:widowControl/>
              <w:suppressLineNumbers w:val="0"/>
              <w:jc w:val="center"/>
              <w:textAlignment w:val="center"/>
              <w:rPr>
                <w:rFonts w:hint="default" w:cs="宋体"/>
                <w:color w:val="000000"/>
                <w:sz w:val="18"/>
                <w:szCs w:val="18"/>
              </w:rPr>
            </w:pPr>
            <w:r>
              <w:rPr>
                <w:rFonts w:hint="eastAsia" w:ascii="宋体" w:hAnsi="宋体" w:eastAsia="宋体" w:cs="宋体"/>
                <w:i w:val="0"/>
                <w:color w:val="000000"/>
                <w:kern w:val="0"/>
                <w:sz w:val="18"/>
                <w:szCs w:val="18"/>
                <w:u w:val="none"/>
                <w:lang w:val="en-US" w:eastAsia="zh-CN" w:bidi="ar"/>
              </w:rPr>
              <w:t>94</w:t>
            </w:r>
          </w:p>
        </w:tc>
        <w:tc>
          <w:tcPr>
            <w:tcW w:w="850" w:type="dxa"/>
            <w:tcBorders>
              <w:top w:val="nil"/>
              <w:left w:val="nil"/>
              <w:bottom w:val="single" w:color="auto" w:sz="4" w:space="0"/>
              <w:right w:val="single" w:color="auto" w:sz="4" w:space="0"/>
            </w:tcBorders>
            <w:shd w:val="clear" w:color="auto" w:fill="auto"/>
            <w:vAlign w:val="center"/>
          </w:tcPr>
          <w:p w14:paraId="63083BA3">
            <w:pPr>
              <w:keepNext w:val="0"/>
              <w:keepLines w:val="0"/>
              <w:widowControl/>
              <w:suppressLineNumbers w:val="0"/>
              <w:jc w:val="center"/>
              <w:textAlignment w:val="center"/>
              <w:rPr>
                <w:rFonts w:hint="default" w:cs="宋体"/>
                <w:color w:val="000000"/>
                <w:sz w:val="18"/>
                <w:szCs w:val="18"/>
              </w:rPr>
            </w:pPr>
            <w:r>
              <w:rPr>
                <w:rFonts w:hint="eastAsia" w:ascii="宋体" w:hAnsi="宋体" w:eastAsia="宋体" w:cs="宋体"/>
                <w:i w:val="0"/>
                <w:color w:val="000000"/>
                <w:kern w:val="0"/>
                <w:sz w:val="18"/>
                <w:szCs w:val="18"/>
                <w:u w:val="none"/>
                <w:lang w:val="en-US" w:eastAsia="zh-CN" w:bidi="ar"/>
              </w:rPr>
              <w:t>1.08</w:t>
            </w:r>
          </w:p>
        </w:tc>
        <w:tc>
          <w:tcPr>
            <w:tcW w:w="992" w:type="dxa"/>
            <w:gridSpan w:val="3"/>
            <w:tcBorders>
              <w:top w:val="nil"/>
              <w:left w:val="nil"/>
              <w:bottom w:val="single" w:color="auto" w:sz="4" w:space="0"/>
              <w:right w:val="single" w:color="auto" w:sz="4" w:space="0"/>
            </w:tcBorders>
            <w:shd w:val="clear" w:color="auto" w:fill="auto"/>
            <w:vAlign w:val="center"/>
          </w:tcPr>
          <w:p w14:paraId="3B3809E5">
            <w:pPr>
              <w:keepNext w:val="0"/>
              <w:keepLines w:val="0"/>
              <w:widowControl/>
              <w:suppressLineNumbers w:val="0"/>
              <w:jc w:val="center"/>
              <w:textAlignment w:val="center"/>
              <w:rPr>
                <w:rFonts w:hint="default" w:cs="宋体"/>
                <w:color w:val="000000"/>
                <w:sz w:val="18"/>
                <w:szCs w:val="18"/>
              </w:rPr>
            </w:pPr>
            <w:r>
              <w:rPr>
                <w:rFonts w:hint="eastAsia" w:ascii="宋体" w:hAnsi="宋体" w:eastAsia="宋体" w:cs="宋体"/>
                <w:i w:val="0"/>
                <w:color w:val="000000"/>
                <w:kern w:val="0"/>
                <w:sz w:val="18"/>
                <w:szCs w:val="18"/>
                <w:u w:val="none"/>
                <w:lang w:val="en-US" w:eastAsia="zh-CN" w:bidi="ar"/>
              </w:rPr>
              <w:t>100</w:t>
            </w:r>
          </w:p>
        </w:tc>
        <w:tc>
          <w:tcPr>
            <w:tcW w:w="709" w:type="dxa"/>
            <w:tcBorders>
              <w:top w:val="nil"/>
              <w:left w:val="nil"/>
              <w:bottom w:val="single" w:color="auto" w:sz="4" w:space="0"/>
              <w:right w:val="single" w:color="auto" w:sz="4" w:space="0"/>
            </w:tcBorders>
            <w:shd w:val="clear" w:color="auto" w:fill="auto"/>
            <w:vAlign w:val="center"/>
          </w:tcPr>
          <w:p w14:paraId="10EB2657">
            <w:pPr>
              <w:keepNext w:val="0"/>
              <w:keepLines w:val="0"/>
              <w:widowControl/>
              <w:suppressLineNumbers w:val="0"/>
              <w:jc w:val="center"/>
              <w:textAlignment w:val="center"/>
              <w:rPr>
                <w:rFonts w:hint="default" w:cs="宋体"/>
                <w:color w:val="000000"/>
                <w:sz w:val="18"/>
                <w:szCs w:val="18"/>
              </w:rPr>
            </w:pPr>
            <w:r>
              <w:rPr>
                <w:rFonts w:hint="eastAsia" w:ascii="宋体" w:hAnsi="宋体" w:eastAsia="宋体" w:cs="宋体"/>
                <w:i w:val="0"/>
                <w:color w:val="000000"/>
                <w:kern w:val="0"/>
                <w:sz w:val="18"/>
                <w:szCs w:val="18"/>
                <w:u w:val="none"/>
                <w:lang w:val="en-US" w:eastAsia="zh-CN" w:bidi="ar"/>
              </w:rPr>
              <w:t>10</w:t>
            </w:r>
          </w:p>
        </w:tc>
        <w:tc>
          <w:tcPr>
            <w:tcW w:w="709" w:type="dxa"/>
            <w:gridSpan w:val="2"/>
            <w:tcBorders>
              <w:top w:val="nil"/>
              <w:left w:val="nil"/>
              <w:bottom w:val="single" w:color="auto" w:sz="4" w:space="0"/>
              <w:right w:val="single" w:color="auto" w:sz="4" w:space="0"/>
            </w:tcBorders>
            <w:shd w:val="clear" w:color="auto" w:fill="auto"/>
            <w:vAlign w:val="center"/>
          </w:tcPr>
          <w:p w14:paraId="08B94EB0">
            <w:pPr>
              <w:keepNext w:val="0"/>
              <w:keepLines w:val="0"/>
              <w:widowControl/>
              <w:suppressLineNumbers w:val="0"/>
              <w:jc w:val="center"/>
              <w:textAlignment w:val="center"/>
              <w:rPr>
                <w:rFonts w:hint="default" w:cs="宋体"/>
                <w:color w:val="000000"/>
                <w:sz w:val="18"/>
                <w:szCs w:val="18"/>
              </w:rPr>
            </w:pPr>
            <w:r>
              <w:rPr>
                <w:rFonts w:hint="eastAsia" w:ascii="宋体" w:hAnsi="宋体" w:eastAsia="宋体" w:cs="宋体"/>
                <w:i w:val="0"/>
                <w:color w:val="000000"/>
                <w:kern w:val="0"/>
                <w:sz w:val="18"/>
                <w:szCs w:val="18"/>
                <w:u w:val="none"/>
                <w:lang w:val="en-US" w:eastAsia="zh-CN" w:bidi="ar"/>
              </w:rPr>
              <w:t>10</w:t>
            </w:r>
          </w:p>
        </w:tc>
        <w:tc>
          <w:tcPr>
            <w:tcW w:w="709" w:type="dxa"/>
            <w:tcBorders>
              <w:top w:val="nil"/>
              <w:left w:val="nil"/>
              <w:bottom w:val="single" w:color="auto" w:sz="4" w:space="0"/>
              <w:right w:val="single" w:color="auto" w:sz="4" w:space="0"/>
            </w:tcBorders>
            <w:shd w:val="clear" w:color="auto" w:fill="auto"/>
            <w:vAlign w:val="center"/>
          </w:tcPr>
          <w:p w14:paraId="768F51CB">
            <w:pPr>
              <w:keepNext w:val="0"/>
              <w:keepLines w:val="0"/>
              <w:widowControl/>
              <w:suppressLineNumbers w:val="0"/>
              <w:jc w:val="center"/>
              <w:textAlignment w:val="center"/>
              <w:rPr>
                <w:rFonts w:hint="default" w:cs="宋体"/>
                <w:color w:val="000000"/>
                <w:sz w:val="18"/>
                <w:szCs w:val="18"/>
              </w:rPr>
            </w:pPr>
            <w:r>
              <w:rPr>
                <w:rFonts w:hint="eastAsia" w:ascii="宋体" w:hAnsi="宋体" w:eastAsia="宋体" w:cs="宋体"/>
                <w:i w:val="0"/>
                <w:color w:val="000000"/>
                <w:kern w:val="0"/>
                <w:sz w:val="18"/>
                <w:szCs w:val="18"/>
                <w:u w:val="none"/>
                <w:lang w:val="en-US" w:eastAsia="zh-CN" w:bidi="ar"/>
              </w:rPr>
              <w:t>否</w:t>
            </w:r>
          </w:p>
        </w:tc>
        <w:tc>
          <w:tcPr>
            <w:tcW w:w="708" w:type="dxa"/>
            <w:tcBorders>
              <w:top w:val="nil"/>
              <w:left w:val="nil"/>
              <w:bottom w:val="single" w:color="auto" w:sz="4" w:space="0"/>
              <w:right w:val="single" w:color="auto" w:sz="4" w:space="0"/>
            </w:tcBorders>
            <w:shd w:val="clear" w:color="auto" w:fill="auto"/>
            <w:vAlign w:val="center"/>
          </w:tcPr>
          <w:p w14:paraId="5C8F673A">
            <w:pPr>
              <w:rPr>
                <w:rFonts w:hint="default" w:cs="宋体"/>
                <w:color w:val="000000"/>
                <w:sz w:val="18"/>
                <w:szCs w:val="18"/>
              </w:rPr>
            </w:pPr>
            <w:r>
              <w:rPr>
                <w:rFonts w:cs="宋体"/>
                <w:color w:val="000000"/>
                <w:sz w:val="18"/>
                <w:szCs w:val="18"/>
              </w:rPr>
              <w:t>　</w:t>
            </w:r>
          </w:p>
        </w:tc>
      </w:tr>
    </w:tbl>
    <w:p w14:paraId="1EB0EDD3">
      <w:pPr>
        <w:autoSpaceDE w:val="0"/>
        <w:ind w:firstLine="643" w:firstLineChars="200"/>
        <w:rPr>
          <w:rFonts w:hint="default" w:ascii="楷体" w:hAnsi="楷体" w:eastAsia="楷体" w:cs="楷体"/>
          <w:b/>
          <w:bCs/>
          <w:sz w:val="32"/>
          <w:szCs w:val="32"/>
          <w:shd w:val="clear" w:color="auto" w:fill="FFFFFF"/>
        </w:rPr>
      </w:pPr>
      <w:r>
        <w:rPr>
          <w:rFonts w:ascii="楷体" w:hAnsi="楷体" w:eastAsia="楷体" w:cs="楷体"/>
          <w:b/>
          <w:bCs/>
          <w:sz w:val="32"/>
          <w:szCs w:val="32"/>
          <w:shd w:val="clear" w:color="auto" w:fill="FFFFFF"/>
        </w:rPr>
        <w:t>（二）单位绩效评价情况</w:t>
      </w:r>
    </w:p>
    <w:p w14:paraId="6A30024D">
      <w:pPr>
        <w:widowControl w:val="0"/>
        <w:tabs>
          <w:tab w:val="center" w:pos="4153"/>
          <w:tab w:val="left" w:pos="7275"/>
        </w:tabs>
        <w:spacing w:line="600" w:lineRule="exact"/>
        <w:ind w:firstLine="640" w:firstLineChars="200"/>
        <w:jc w:val="both"/>
        <w:rPr>
          <w:rFonts w:hint="default" w:ascii="Times New Roman" w:hAnsi="Times New Roman" w:eastAsia="方正仿宋_GBK" w:cs="宋体"/>
          <w:color w:val="000000"/>
          <w:sz w:val="32"/>
          <w:szCs w:val="32"/>
        </w:rPr>
      </w:pPr>
      <w:r>
        <w:rPr>
          <w:rFonts w:ascii="方正仿宋_GBK" w:hAnsi="Times New Roman" w:eastAsia="方正仿宋_GBK"/>
          <w:kern w:val="2"/>
          <w:sz w:val="32"/>
          <w:szCs w:val="32"/>
        </w:rPr>
        <w:t>本单位2024年没有委托第三方开展绩效评价。</w:t>
      </w:r>
    </w:p>
    <w:p w14:paraId="5AACEC39">
      <w:pPr>
        <w:pStyle w:val="19"/>
        <w:autoSpaceDE w:val="0"/>
        <w:spacing w:line="596" w:lineRule="exact"/>
        <w:ind w:firstLine="643"/>
        <w:rPr>
          <w:rFonts w:hint="default" w:ascii="方正仿宋_GBK" w:hAnsi="方正仿宋_GBK" w:eastAsia="方正仿宋_GBK" w:cs="方正仿宋_GBK"/>
          <w:sz w:val="32"/>
          <w:szCs w:val="32"/>
          <w:shd w:val="clear" w:color="auto" w:fill="FFFFFF"/>
        </w:rPr>
      </w:pPr>
      <w:r>
        <w:rPr>
          <w:rFonts w:ascii="楷体" w:hAnsi="楷体" w:eastAsia="楷体" w:cs="楷体"/>
          <w:b/>
          <w:bCs/>
          <w:sz w:val="32"/>
          <w:szCs w:val="32"/>
          <w:shd w:val="clear" w:color="auto" w:fill="FFFFFF"/>
          <w:lang w:bidi="ar"/>
        </w:rPr>
        <w:t>（三）财政绩效评价情况</w:t>
      </w:r>
    </w:p>
    <w:p w14:paraId="54C4F516">
      <w:pPr>
        <w:pStyle w:val="14"/>
        <w:autoSpaceDE w:val="0"/>
        <w:ind w:firstLine="640"/>
        <w:rPr>
          <w:rFonts w:ascii="方正仿宋_GBK" w:hAnsi="Times New Roman" w:eastAsia="方正仿宋_GBK"/>
          <w:kern w:val="2"/>
          <w:sz w:val="32"/>
          <w:szCs w:val="32"/>
        </w:rPr>
      </w:pPr>
      <w:r>
        <w:rPr>
          <w:rFonts w:hint="eastAsia" w:ascii="方正仿宋_GBK" w:hAnsi="Times New Roman" w:eastAsia="方正仿宋_GBK"/>
          <w:kern w:val="2"/>
          <w:sz w:val="32"/>
          <w:szCs w:val="32"/>
        </w:rPr>
        <w:t>2024年区财政局未委托第三方对我单位开展绩效评价。</w:t>
      </w:r>
    </w:p>
    <w:p w14:paraId="57DC7C25">
      <w:pPr>
        <w:pStyle w:val="15"/>
        <w:autoSpaceDE w:val="0"/>
        <w:spacing w:before="0" w:beforeAutospacing="0" w:after="0" w:afterAutospacing="0" w:line="596" w:lineRule="exact"/>
        <w:rPr>
          <w:rFonts w:ascii="方正仿宋_GBK" w:hAnsi="方正仿宋_GBK" w:eastAsia="方正仿宋_GBK" w:cs="方正仿宋_GBK"/>
          <w:sz w:val="32"/>
          <w:szCs w:val="32"/>
        </w:rPr>
      </w:pPr>
      <w:r>
        <w:rPr>
          <w:rStyle w:val="16"/>
          <w:rFonts w:hint="eastAsia" w:ascii="方正仿宋_GBK" w:hAnsi="方正仿宋_GBK" w:eastAsia="方正仿宋_GBK" w:cs="方正仿宋_GBK"/>
          <w:sz w:val="32"/>
          <w:szCs w:val="32"/>
          <w:shd w:val="clear" w:color="auto" w:fill="FFFFFF"/>
        </w:rPr>
        <w:t xml:space="preserve">   </w:t>
      </w:r>
      <w:r>
        <w:rPr>
          <w:rStyle w:val="13"/>
          <w:rFonts w:hint="eastAsia" w:ascii="黑体" w:hAnsi="黑体" w:eastAsia="黑体" w:cs="黑体"/>
          <w:sz w:val="32"/>
          <w:szCs w:val="32"/>
          <w:shd w:val="clear" w:color="auto" w:fill="FFFFFF"/>
        </w:rPr>
        <w:t xml:space="preserve"> 六、专业名词解释</w:t>
      </w:r>
    </w:p>
    <w:p w14:paraId="0BB66675">
      <w:pPr>
        <w:pStyle w:val="15"/>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（一）财政拨款收入：</w:t>
      </w:r>
      <w:r>
        <w:rPr>
          <w:rFonts w:hint="eastAsia" w:ascii="方正仿宋_GBK" w:hAnsi="方正仿宋_GBK" w:eastAsia="方正仿宋_GBK" w:cs="方正仿宋_GBK"/>
          <w:sz w:val="32"/>
          <w:szCs w:val="32"/>
          <w:shd w:val="clear" w:color="auto" w:fill="FFFFFF"/>
        </w:rPr>
        <w:t>指本年度从本级财政部门取得的财政拨款，包括一般公共预算财政拨款和政府性基金预算财政拨款。</w:t>
      </w:r>
    </w:p>
    <w:p w14:paraId="201A349C">
      <w:pPr>
        <w:pStyle w:val="15"/>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（二）事业收入：</w:t>
      </w:r>
      <w:r>
        <w:rPr>
          <w:rFonts w:hint="eastAsia" w:ascii="方正仿宋_GBK" w:hAnsi="方正仿宋_GBK" w:eastAsia="方正仿宋_GBK" w:cs="方正仿宋_GBK"/>
          <w:sz w:val="32"/>
          <w:szCs w:val="32"/>
          <w:shd w:val="clear" w:color="auto" w:fill="FFFFFF"/>
        </w:rPr>
        <w:t>指事业单位开展专业业务活动及其辅助活动取得的现金流入；事业单位收到的财政专户实际核拨的教育收费等资金在此反映。</w:t>
      </w:r>
    </w:p>
    <w:p w14:paraId="73B97064">
      <w:pPr>
        <w:pStyle w:val="15"/>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（三）经营收入：</w:t>
      </w:r>
      <w:r>
        <w:rPr>
          <w:rFonts w:hint="eastAsia" w:ascii="方正仿宋_GBK" w:hAnsi="方正仿宋_GBK" w:eastAsia="方正仿宋_GBK" w:cs="方正仿宋_GBK"/>
          <w:sz w:val="32"/>
          <w:szCs w:val="32"/>
          <w:shd w:val="clear" w:color="auto" w:fill="FFFFFF"/>
        </w:rPr>
        <w:t>指事业单位在专业业务活动及其辅助活动之外开展非独立核算经营活动取得的现金流入。</w:t>
      </w:r>
    </w:p>
    <w:p w14:paraId="1DF8CE81">
      <w:pPr>
        <w:pStyle w:val="15"/>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（四）其他收入：</w:t>
      </w:r>
      <w:r>
        <w:rPr>
          <w:rFonts w:hint="eastAsia" w:ascii="方正仿宋_GBK" w:hAnsi="方正仿宋_GBK" w:eastAsia="方正仿宋_GBK" w:cs="方正仿宋_GBK"/>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14:paraId="1F85A1E7">
      <w:pPr>
        <w:pStyle w:val="15"/>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（五）使用非财政拨款结余（含专用结余）：</w:t>
      </w:r>
      <w:r>
        <w:rPr>
          <w:rFonts w:hint="eastAsia" w:ascii="方正仿宋_GBK" w:hAnsi="方正仿宋_GBK" w:eastAsia="方正仿宋_GBK" w:cs="方正仿宋_GBK"/>
          <w:sz w:val="32"/>
          <w:szCs w:val="32"/>
          <w:shd w:val="clear" w:color="auto" w:fill="FFFFFF"/>
        </w:rPr>
        <w:t>指单位在当年的“财政拨款收入”、“事业收入”、“经营收入”、“其他收入”等不足以安排当年支出的情况下，使用以前年度积累的非财政拨款结余弥补本年度收支缺口的资金。</w:t>
      </w:r>
    </w:p>
    <w:p w14:paraId="14E5457B">
      <w:pPr>
        <w:pStyle w:val="15"/>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（六）年初结转和结余：</w:t>
      </w:r>
      <w:r>
        <w:rPr>
          <w:rFonts w:hint="eastAsia" w:ascii="方正仿宋_GBK" w:hAnsi="方正仿宋_GBK" w:eastAsia="方正仿宋_GBK" w:cs="方正仿宋_GBK"/>
          <w:sz w:val="32"/>
          <w:szCs w:val="32"/>
          <w:shd w:val="clear" w:color="auto" w:fill="FFFFFF"/>
        </w:rPr>
        <w:t>指单位上年结转本年使用的基本支出结转、项目支出结转和结余、经营结余。</w:t>
      </w:r>
    </w:p>
    <w:p w14:paraId="1B666C62">
      <w:pPr>
        <w:pStyle w:val="15"/>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（七）结余分配：</w:t>
      </w:r>
      <w:r>
        <w:rPr>
          <w:rFonts w:hint="eastAsia" w:ascii="方正仿宋_GBK" w:hAnsi="方正仿宋_GBK" w:eastAsia="方正仿宋_GBK" w:cs="方正仿宋_GBK"/>
          <w:sz w:val="32"/>
          <w:szCs w:val="32"/>
          <w:shd w:val="clear" w:color="auto" w:fill="FFFFFF"/>
        </w:rPr>
        <w:t>指单位按照国家有关规定，缴纳所得税、提取专用基金、转入非财政拨款结余等当年结余的分配情况。</w:t>
      </w:r>
    </w:p>
    <w:p w14:paraId="6CB4A5FF">
      <w:pPr>
        <w:pStyle w:val="15"/>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（八）年末结转和结余：</w:t>
      </w:r>
      <w:r>
        <w:rPr>
          <w:rFonts w:hint="eastAsia" w:ascii="方正仿宋_GBK" w:hAnsi="方正仿宋_GBK" w:eastAsia="方正仿宋_GBK" w:cs="方正仿宋_GBK"/>
          <w:sz w:val="32"/>
          <w:szCs w:val="32"/>
          <w:shd w:val="clear" w:color="auto" w:fill="FFFFFF"/>
        </w:rPr>
        <w:t>指单位结转下年的基本支出结转、项目支出结转和结余、经营结余。</w:t>
      </w:r>
    </w:p>
    <w:p w14:paraId="6FC41E83">
      <w:pPr>
        <w:pStyle w:val="15"/>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（九）基本支出：</w:t>
      </w:r>
      <w:r>
        <w:rPr>
          <w:rFonts w:hint="eastAsia" w:ascii="方正仿宋_GBK" w:hAnsi="方正仿宋_GBK" w:eastAsia="方正仿宋_GBK" w:cs="方正仿宋_GBK"/>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51EDBA5A">
      <w:pPr>
        <w:pStyle w:val="15"/>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（十）项目支出：</w:t>
      </w:r>
      <w:r>
        <w:rPr>
          <w:rFonts w:hint="eastAsia" w:ascii="方正仿宋_GBK" w:hAnsi="方正仿宋_GBK" w:eastAsia="方正仿宋_GBK" w:cs="方正仿宋_GBK"/>
          <w:sz w:val="32"/>
          <w:szCs w:val="32"/>
          <w:shd w:val="clear" w:color="auto" w:fill="FFFFFF"/>
        </w:rPr>
        <w:t>指在基本支出之外为完成特定行政任务和事业发展目标所发生的支出。</w:t>
      </w:r>
    </w:p>
    <w:p w14:paraId="2F3045FB">
      <w:pPr>
        <w:pStyle w:val="15"/>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（十一）经营支出：</w:t>
      </w:r>
      <w:r>
        <w:rPr>
          <w:rFonts w:hint="eastAsia" w:ascii="方正仿宋_GBK" w:hAnsi="方正仿宋_GBK" w:eastAsia="方正仿宋_GBK" w:cs="方正仿宋_GBK"/>
          <w:sz w:val="32"/>
          <w:szCs w:val="32"/>
          <w:shd w:val="clear" w:color="auto" w:fill="FFFFFF"/>
        </w:rPr>
        <w:t>指事业单位在专业业务活动及其辅助活动之外开展非独立核算经营活动发生的支出。</w:t>
      </w:r>
    </w:p>
    <w:p w14:paraId="148B3BBC">
      <w:pPr>
        <w:pStyle w:val="15"/>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（十二）“三公”经费：</w:t>
      </w:r>
      <w:r>
        <w:rPr>
          <w:rFonts w:hint="eastAsia" w:ascii="方正仿宋_GBK" w:hAnsi="方正仿宋_GBK" w:eastAsia="方正仿宋_GBK" w:cs="方正仿宋_GBK"/>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49E0DF43">
      <w:pPr>
        <w:pStyle w:val="15"/>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（十三）机关运行经费：</w:t>
      </w:r>
      <w:r>
        <w:rPr>
          <w:rFonts w:hint="eastAsia" w:ascii="方正仿宋_GBK" w:hAnsi="方正仿宋_GBK" w:eastAsia="方正仿宋_GBK" w:cs="方正仿宋_GBK"/>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14:paraId="1A02BA6D">
      <w:pPr>
        <w:pStyle w:val="15"/>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（十四）工资福利支出（支出经济分类科目类级）：</w:t>
      </w:r>
      <w:r>
        <w:rPr>
          <w:rFonts w:hint="eastAsia" w:ascii="方正仿宋_GBK" w:hAnsi="方正仿宋_GBK" w:eastAsia="方正仿宋_GBK" w:cs="方正仿宋_GBK"/>
          <w:sz w:val="32"/>
          <w:szCs w:val="32"/>
          <w:shd w:val="clear" w:color="auto" w:fill="FFFFFF"/>
        </w:rPr>
        <w:t>反映单位开支的在职职工和编制外长期聘用人员的各类劳动报酬，以及为上述人员缴纳的各项社会保险费等。</w:t>
      </w:r>
    </w:p>
    <w:p w14:paraId="4E15C19F">
      <w:pPr>
        <w:pStyle w:val="15"/>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（十五）商品和服务支出（支出经济分类科目类级）：</w:t>
      </w:r>
      <w:r>
        <w:rPr>
          <w:rFonts w:hint="eastAsia" w:ascii="方正仿宋_GBK" w:hAnsi="方正仿宋_GBK" w:eastAsia="方正仿宋_GBK" w:cs="方正仿宋_GBK"/>
          <w:sz w:val="32"/>
          <w:szCs w:val="32"/>
          <w:shd w:val="clear" w:color="auto" w:fill="FFFFFF"/>
        </w:rPr>
        <w:t>反映单位购买商品和服务的支出（不包括用于购置固定资产的支出、战略性和应急储备支出）。</w:t>
      </w:r>
    </w:p>
    <w:p w14:paraId="424CE1CA">
      <w:pPr>
        <w:pStyle w:val="15"/>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（十六）对个人和家庭的补助（支出经济分类科目类级）：</w:t>
      </w:r>
      <w:r>
        <w:rPr>
          <w:rFonts w:hint="eastAsia" w:ascii="方正仿宋_GBK" w:hAnsi="方正仿宋_GBK" w:eastAsia="方正仿宋_GBK" w:cs="方正仿宋_GBK"/>
          <w:sz w:val="32"/>
          <w:szCs w:val="32"/>
          <w:shd w:val="clear" w:color="auto" w:fill="FFFFFF"/>
        </w:rPr>
        <w:t>反映用于对个人和家庭的补助支出。</w:t>
      </w:r>
    </w:p>
    <w:p w14:paraId="33224936">
      <w:pPr>
        <w:pStyle w:val="15"/>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3"/>
          <w:rFonts w:hint="eastAsia" w:ascii="楷体" w:hAnsi="楷体" w:eastAsia="楷体" w:cs="楷体"/>
          <w:sz w:val="32"/>
          <w:szCs w:val="32"/>
          <w:shd w:val="clear" w:color="auto" w:fill="FFFFFF"/>
        </w:rPr>
        <w:t>（十七）其他资本性支出（支出经济分类科目类级）：</w:t>
      </w:r>
      <w:r>
        <w:rPr>
          <w:rFonts w:hint="eastAsia" w:ascii="方正仿宋_GBK" w:hAnsi="方正仿宋_GBK" w:eastAsia="方正仿宋_GBK" w:cs="方正仿宋_GBK"/>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14:paraId="7F1EF634">
      <w:pPr>
        <w:pStyle w:val="15"/>
        <w:spacing w:before="0" w:beforeAutospacing="0" w:after="0" w:afterAutospacing="0" w:line="596" w:lineRule="exact"/>
        <w:ind w:firstLine="643" w:firstLineChars="200"/>
        <w:rPr>
          <w:rFonts w:ascii="方正仿宋_GBK" w:hAnsi="方正仿宋_GBK" w:eastAsia="方正仿宋_GBK" w:cs="方正仿宋_GBK"/>
          <w:sz w:val="32"/>
          <w:szCs w:val="32"/>
        </w:rPr>
      </w:pPr>
      <w:r>
        <w:rPr>
          <w:rStyle w:val="13"/>
          <w:rFonts w:hint="eastAsia" w:ascii="黑体" w:hAnsi="黑体" w:eastAsia="黑体" w:cs="黑体"/>
          <w:sz w:val="32"/>
          <w:szCs w:val="32"/>
          <w:shd w:val="clear" w:color="auto" w:fill="FFFFFF"/>
        </w:rPr>
        <w:t>七、决算公开联系方式及信息反馈渠道</w:t>
      </w:r>
    </w:p>
    <w:p w14:paraId="2011FED0">
      <w:pPr>
        <w:pStyle w:val="9"/>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本单位决算公开信息反馈和联系方式：</w:t>
      </w:r>
    </w:p>
    <w:p w14:paraId="07634BC2">
      <w:pPr>
        <w:pStyle w:val="9"/>
        <w:snapToGrid w:val="0"/>
        <w:spacing w:before="0" w:beforeAutospacing="0" w:after="0" w:afterAutospacing="0" w:line="600" w:lineRule="exact"/>
        <w:ind w:firstLine="640" w:firstLineChars="200"/>
        <w:jc w:val="both"/>
        <w:rPr>
          <w:rStyle w:val="13"/>
          <w:rFonts w:hint="eastAsia" w:ascii="方正仿宋_GBK" w:hAnsi="方正仿宋_GBK" w:eastAsia="方正仿宋_GBK" w:cs="方正仿宋_GBK"/>
          <w:sz w:val="32"/>
          <w:szCs w:val="32"/>
          <w:shd w:val="clear" w:color="auto" w:fill="FFFF00"/>
          <w:lang w:eastAsia="zh-CN"/>
        </w:rPr>
        <w:sectPr>
          <w:footerReference r:id="rId3" w:type="default"/>
          <w:pgSz w:w="11915" w:h="16840"/>
          <w:pgMar w:top="1440" w:right="1800" w:bottom="1440" w:left="1800" w:header="851" w:footer="992" w:gutter="0"/>
          <w:pgNumType w:fmt="numberInDash"/>
          <w:cols w:space="720" w:num="1"/>
          <w:docGrid w:type="lines" w:linePitch="312" w:charSpace="0"/>
        </w:sectPr>
      </w:pPr>
      <w:r>
        <w:rPr>
          <w:rFonts w:hint="eastAsia" w:ascii="方正仿宋_GBK" w:hAnsi="方正仿宋_GBK" w:eastAsia="方正仿宋_GBK" w:cs="方正仿宋_GBK"/>
          <w:sz w:val="32"/>
          <w:szCs w:val="32"/>
          <w:shd w:val="clear" w:color="auto" w:fill="FFFFFF"/>
        </w:rPr>
        <w:t>王玉兰</w:t>
      </w:r>
      <w:r>
        <w:rPr>
          <w:rFonts w:hint="eastAsia" w:ascii="方正仿宋_GBK" w:hAnsi="方正仿宋_GBK" w:eastAsia="方正仿宋_GBK" w:cs="方正仿宋_GBK"/>
          <w:sz w:val="32"/>
          <w:szCs w:val="32"/>
          <w:shd w:val="clear" w:color="auto" w:fill="FFFFFF"/>
          <w:lang w:eastAsia="zh-CN"/>
        </w:rPr>
        <w:t>；</w:t>
      </w:r>
      <w:r>
        <w:rPr>
          <w:rFonts w:hint="eastAsia" w:ascii="方正仿宋_GBK" w:hAnsi="方正仿宋_GBK" w:eastAsia="方正仿宋_GBK" w:cs="方正仿宋_GBK"/>
          <w:sz w:val="32"/>
          <w:szCs w:val="32"/>
          <w:shd w:val="clear" w:color="auto" w:fill="FFFFFF"/>
        </w:rPr>
        <w:t>023-72807089</w:t>
      </w:r>
      <w:r>
        <w:rPr>
          <w:rFonts w:hint="eastAsia" w:ascii="方正仿宋_GBK" w:hAnsi="方正仿宋_GBK" w:eastAsia="方正仿宋_GBK" w:cs="方正仿宋_GBK"/>
          <w:sz w:val="32"/>
          <w:szCs w:val="32"/>
          <w:shd w:val="clear" w:color="auto" w:fill="FFFFFF"/>
          <w:lang w:eastAsia="zh-CN"/>
        </w:rPr>
        <w:t>。</w:t>
      </w:r>
    </w:p>
    <w:p w14:paraId="70AEB611">
      <w:pPr>
        <w:rPr>
          <w:rFonts w:hint="default"/>
          <w:sz w:val="18"/>
          <w:szCs w:val="18"/>
        </w:rPr>
      </w:pPr>
      <w:bookmarkStart w:id="0" w:name="_GoBack"/>
      <w:bookmarkEnd w:id="0"/>
    </w:p>
    <w:sectPr>
      <w:headerReference r:id="rId4" w:type="default"/>
      <w:footerReference r:id="rId5" w:type="default"/>
      <w:pgSz w:w="16783" w:h="11850" w:orient="landscape"/>
      <w:pgMar w:top="567" w:right="454" w:bottom="567" w:left="103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98353">
    <w:pPr>
      <w:pStyle w:val="6"/>
      <w:rPr>
        <w:rFonts w:hint="default"/>
      </w:rPr>
    </w:pPr>
    <w:r>
      <w:rPr>
        <w:rFonts w:hint="default"/>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40A7BF13">
                          <w:pPr>
                            <w:pStyle w:val="6"/>
                            <w:rPr>
                              <w:rFonts w:hint="default"/>
                            </w:rPr>
                          </w:pPr>
                          <w:r>
                            <w:fldChar w:fldCharType="begin"/>
                          </w:r>
                          <w:r>
                            <w:instrText xml:space="preserve"> PAGE  \* MERGEFORMAT </w:instrText>
                          </w:r>
                          <w:r>
                            <w:fldChar w:fldCharType="separate"/>
                          </w:r>
                          <w:r>
                            <w:rPr>
                              <w:rFonts w:hint="default"/>
                            </w:rPr>
                            <w:t>- 8 -</w:t>
                          </w:r>
                          <w: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s0lY7tAAAAAFAQAADwAAAAAAAAABACAAAAAiAAAAZHJzL2Rv&#10;d25yZXYueG1sUEsBAhQAFAAAAAgAh07iQL1fV2TQAQAAogMAAA4AAAAAAAAAAQAgAAAAHwEAAGRy&#10;cy9lMm9Eb2MueG1sUEsFBgAAAAAGAAYAWQEAAGEFAAAAAA==&#10;">
              <v:fill on="f" focussize="0,0"/>
              <v:stroke on="f" weight="0.5pt"/>
              <v:imagedata o:title=""/>
              <o:lock v:ext="edit" aspectratio="f"/>
              <v:textbox inset="0mm,0mm,0mm,0mm" style="mso-fit-shape-to-text:t;">
                <w:txbxContent>
                  <w:p w14:paraId="40A7BF13">
                    <w:pPr>
                      <w:pStyle w:val="6"/>
                      <w:rPr>
                        <w:rFonts w:hint="default"/>
                      </w:rPr>
                    </w:pPr>
                    <w:r>
                      <w:fldChar w:fldCharType="begin"/>
                    </w:r>
                    <w:r>
                      <w:instrText xml:space="preserve"> PAGE  \* MERGEFORMAT </w:instrText>
                    </w:r>
                    <w:r>
                      <w:fldChar w:fldCharType="separate"/>
                    </w:r>
                    <w:r>
                      <w:rPr>
                        <w:rFonts w:hint="default"/>
                      </w:rPr>
                      <w:t>- 8 -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DF211">
    <w:pPr>
      <w:pStyle w:val="6"/>
      <w:jc w:val="both"/>
      <w:rPr>
        <w:rFonts w:hint="default"/>
      </w:rPr>
    </w:pPr>
    <w:r>
      <w:rPr>
        <w:rFonts w:hint="default"/>
      </w:rPr>
      <mc:AlternateContent>
        <mc:Choice Requires="wps">
          <w:drawing>
            <wp:anchor distT="0" distB="0" distL="114300" distR="114300" simplePos="0" relativeHeight="251661312" behindDoc="0" locked="0" layoutInCell="1" allowOverlap="0">
              <wp:simplePos x="0" y="0"/>
              <wp:positionH relativeFrom="margin">
                <wp:align>center</wp:align>
              </wp:positionH>
              <wp:positionV relativeFrom="paragraph">
                <wp:posOffset>0</wp:posOffset>
              </wp:positionV>
              <wp:extent cx="1828800" cy="1828800"/>
              <wp:effectExtent l="0" t="0" r="0" b="0"/>
              <wp:wrapNone/>
              <wp:docPr id="3"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2069DE4F">
                          <w:pPr>
                            <w:pStyle w:val="6"/>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19 -</w:t>
                          </w:r>
                          <w:r>
                            <w:fldChar w:fldCharType="end"/>
                          </w:r>
                          <w:r>
                            <w:t xml:space="preserve"> </w:t>
                          </w:r>
                        </w:p>
                      </w:txbxContent>
                    </wps:txbx>
                    <wps:bodyPr wrap="none" lIns="0" tIns="0" rIns="0" bIns="0" upright="1">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1312;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zSVju0AAAAAUBAAAPAAAAAAAAAAEAIAAAACIAAABkcnMv&#10;ZG93bnJldi54bWxQSwECFAAUAAAACACHTuJAR8u/9NIBAACiAwAADgAAAAAAAAABACAAAAAfAQAA&#10;ZHJzL2Uyb0RvYy54bWxQSwUGAAAAAAYABgBZAQAAYwUAAAAA&#10;">
              <v:fill on="f" focussize="0,0"/>
              <v:stroke on="f" weight="0.5pt"/>
              <v:imagedata o:title=""/>
              <o:lock v:ext="edit" aspectratio="f"/>
              <v:textbox inset="0mm,0mm,0mm,0mm" style="mso-fit-shape-to-text:t;">
                <w:txbxContent>
                  <w:p w14:paraId="2069DE4F">
                    <w:pPr>
                      <w:pStyle w:val="6"/>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19 -</w:t>
                    </w:r>
                    <w:r>
                      <w:fldChar w:fldCharType="end"/>
                    </w:r>
                    <w:r>
                      <w:t xml:space="preserve"> </w:t>
                    </w:r>
                  </w:p>
                </w:txbxContent>
              </v:textbox>
            </v:shape>
          </w:pict>
        </mc:Fallback>
      </mc:AlternateContent>
    </w:r>
    <w:r>
      <w:rPr>
        <w:rFonts w:hint="default"/>
      </w:rP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ge">
                <wp:posOffset>14737080</wp:posOffset>
              </wp:positionV>
              <wp:extent cx="1828800" cy="220980"/>
              <wp:effectExtent l="0" t="0" r="0" b="0"/>
              <wp:wrapNone/>
              <wp:docPr id="2" name="文本框 7"/>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wps:spPr>
                    <wps:txbx>
                      <w:txbxContent>
                        <w:p w14:paraId="2AF090B9">
                          <w:pPr>
                            <w:pStyle w:val="6"/>
                            <w:jc w:val="both"/>
                            <w:rPr>
                              <w:rFonts w:hint="default" w:cs="宋体"/>
                            </w:rPr>
                          </w:pPr>
                          <w:r>
                            <w:rPr>
                              <w:rFonts w:cs="宋体"/>
                            </w:rPr>
                            <w:t>— 27.1 —</w:t>
                          </w:r>
                        </w:p>
                      </w:txbxContent>
                    </wps:txbx>
                    <wps:bodyPr wrap="none" lIns="0" tIns="0" rIns="0" bIns="0" upright="1"/>
                  </wps:wsp>
                </a:graphicData>
              </a:graphic>
            </wp:anchor>
          </w:drawing>
        </mc:Choice>
        <mc:Fallback>
          <w:pict>
            <v:shape id="文本框 7" o:spid="_x0000_s1026" o:spt="202" type="#_x0000_t202" style="position:absolute;left:0pt;margin-top:1160.4pt;height:17.4pt;width:144pt;mso-position-horizontal:center;mso-position-horizontal-relative:margin;mso-position-vertical-relative:page;mso-wrap-style:none;z-index:251660288;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4DVRU2AAAAAoBAAAPAAAAAAAAAAEAIAAAACIAAABkcnMv&#10;ZG93bnJldi54bWxQSwECFAAUAAAACACHTuJAAxY288oBAACHAwAADgAAAAAAAAABACAAAAAnAQAA&#10;ZHJzL2Uyb0RvYy54bWxQSwUGAAAAAAYABgBZAQAAYwUAAAAA&#10;">
              <v:fill on="f" focussize="0,0"/>
              <v:stroke on="f" weight="0.5pt"/>
              <v:imagedata o:title=""/>
              <o:lock v:ext="edit" aspectratio="f"/>
              <v:textbox inset="0mm,0mm,0mm,0mm">
                <w:txbxContent>
                  <w:p w14:paraId="2AF090B9">
                    <w:pPr>
                      <w:pStyle w:val="6"/>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F12043">
    <w:pPr>
      <w:pStyle w:val="7"/>
      <w:tabs>
        <w:tab w:val="left" w:pos="1758"/>
        <w:tab w:val="clear" w:pos="4153"/>
        <w:tab w:val="clear" w:pos="8306"/>
      </w:tabs>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CAFA8A"/>
    <w:multiLevelType w:val="singleLevel"/>
    <w:tmpl w:val="4ACAFA8A"/>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wYWQ1YTE0ZDA0NjgxYzlhMjZlMDExNTFmMWI3MmEifQ=="/>
  </w:docVars>
  <w:rsids>
    <w:rsidRoot w:val="00B03CCD"/>
    <w:rsid w:val="000239C6"/>
    <w:rsid w:val="00037921"/>
    <w:rsid w:val="000A6184"/>
    <w:rsid w:val="001D3BB7"/>
    <w:rsid w:val="00206B93"/>
    <w:rsid w:val="00210A10"/>
    <w:rsid w:val="002218E8"/>
    <w:rsid w:val="00264CCD"/>
    <w:rsid w:val="002A5B63"/>
    <w:rsid w:val="002B254B"/>
    <w:rsid w:val="0034050A"/>
    <w:rsid w:val="00367546"/>
    <w:rsid w:val="003B7288"/>
    <w:rsid w:val="0044504F"/>
    <w:rsid w:val="00445B9D"/>
    <w:rsid w:val="00466C9B"/>
    <w:rsid w:val="00486CFC"/>
    <w:rsid w:val="00491DDD"/>
    <w:rsid w:val="004E4EA7"/>
    <w:rsid w:val="00541622"/>
    <w:rsid w:val="00550ABE"/>
    <w:rsid w:val="005823C2"/>
    <w:rsid w:val="005C35BC"/>
    <w:rsid w:val="00623A85"/>
    <w:rsid w:val="00642C2F"/>
    <w:rsid w:val="006A7530"/>
    <w:rsid w:val="006D434B"/>
    <w:rsid w:val="006D77FE"/>
    <w:rsid w:val="006F085F"/>
    <w:rsid w:val="00770383"/>
    <w:rsid w:val="007819D4"/>
    <w:rsid w:val="007B419D"/>
    <w:rsid w:val="007B7C4B"/>
    <w:rsid w:val="007D3D39"/>
    <w:rsid w:val="00845705"/>
    <w:rsid w:val="00984C6A"/>
    <w:rsid w:val="00994AF7"/>
    <w:rsid w:val="009B67B8"/>
    <w:rsid w:val="009C14C9"/>
    <w:rsid w:val="009D2B67"/>
    <w:rsid w:val="009E1452"/>
    <w:rsid w:val="00A2663E"/>
    <w:rsid w:val="00A405E0"/>
    <w:rsid w:val="00A566F9"/>
    <w:rsid w:val="00A932EF"/>
    <w:rsid w:val="00AC4359"/>
    <w:rsid w:val="00AF2751"/>
    <w:rsid w:val="00B035A6"/>
    <w:rsid w:val="00B03CCD"/>
    <w:rsid w:val="00B539A4"/>
    <w:rsid w:val="00BB5418"/>
    <w:rsid w:val="00BB5E2C"/>
    <w:rsid w:val="00BE2B89"/>
    <w:rsid w:val="00BF0D89"/>
    <w:rsid w:val="00C10E9E"/>
    <w:rsid w:val="00C20C3E"/>
    <w:rsid w:val="00C5163E"/>
    <w:rsid w:val="00CF2ACF"/>
    <w:rsid w:val="00D03AAF"/>
    <w:rsid w:val="00D708BC"/>
    <w:rsid w:val="00DD0539"/>
    <w:rsid w:val="00DE1747"/>
    <w:rsid w:val="00E026CA"/>
    <w:rsid w:val="00E02BEE"/>
    <w:rsid w:val="00E07662"/>
    <w:rsid w:val="00E368E9"/>
    <w:rsid w:val="00EB2013"/>
    <w:rsid w:val="00EE1E33"/>
    <w:rsid w:val="00F73F90"/>
    <w:rsid w:val="00FB4B3B"/>
    <w:rsid w:val="01474EBF"/>
    <w:rsid w:val="01F3521E"/>
    <w:rsid w:val="03B87EA0"/>
    <w:rsid w:val="03E3214F"/>
    <w:rsid w:val="044C50BA"/>
    <w:rsid w:val="05BC6D49"/>
    <w:rsid w:val="06194FF1"/>
    <w:rsid w:val="06A2550B"/>
    <w:rsid w:val="06F80EE2"/>
    <w:rsid w:val="07001CCA"/>
    <w:rsid w:val="075678DB"/>
    <w:rsid w:val="077B465F"/>
    <w:rsid w:val="079D7CC7"/>
    <w:rsid w:val="08051BCA"/>
    <w:rsid w:val="086C12F4"/>
    <w:rsid w:val="08705944"/>
    <w:rsid w:val="08BA052C"/>
    <w:rsid w:val="08DB07BA"/>
    <w:rsid w:val="0969353F"/>
    <w:rsid w:val="098305D0"/>
    <w:rsid w:val="09B1218B"/>
    <w:rsid w:val="0A3317EA"/>
    <w:rsid w:val="0A5C4B69"/>
    <w:rsid w:val="0A86124A"/>
    <w:rsid w:val="0AB54CC0"/>
    <w:rsid w:val="0B9335CE"/>
    <w:rsid w:val="0BF2311A"/>
    <w:rsid w:val="0C7927C4"/>
    <w:rsid w:val="0C9B098C"/>
    <w:rsid w:val="0D673E11"/>
    <w:rsid w:val="0DDA54E4"/>
    <w:rsid w:val="0E3A5F83"/>
    <w:rsid w:val="0F836721"/>
    <w:rsid w:val="0FA25D96"/>
    <w:rsid w:val="107B59E5"/>
    <w:rsid w:val="10EC0126"/>
    <w:rsid w:val="10F70B9A"/>
    <w:rsid w:val="111445C7"/>
    <w:rsid w:val="114278C6"/>
    <w:rsid w:val="1158083A"/>
    <w:rsid w:val="11643A4B"/>
    <w:rsid w:val="11ED0F98"/>
    <w:rsid w:val="11F03528"/>
    <w:rsid w:val="129D0289"/>
    <w:rsid w:val="12C921C4"/>
    <w:rsid w:val="13871C70"/>
    <w:rsid w:val="13A71CB4"/>
    <w:rsid w:val="13AF1D43"/>
    <w:rsid w:val="13CE1647"/>
    <w:rsid w:val="13FD55AB"/>
    <w:rsid w:val="14200702"/>
    <w:rsid w:val="14370EA1"/>
    <w:rsid w:val="163A6CEE"/>
    <w:rsid w:val="173708E3"/>
    <w:rsid w:val="17C374FC"/>
    <w:rsid w:val="182E4AB6"/>
    <w:rsid w:val="189079DC"/>
    <w:rsid w:val="189B0D0B"/>
    <w:rsid w:val="18B43F7C"/>
    <w:rsid w:val="190D5F46"/>
    <w:rsid w:val="191C433B"/>
    <w:rsid w:val="194A1770"/>
    <w:rsid w:val="19B906A4"/>
    <w:rsid w:val="1AEA7931"/>
    <w:rsid w:val="1B6F15B6"/>
    <w:rsid w:val="1BAA2EDC"/>
    <w:rsid w:val="1CA55E64"/>
    <w:rsid w:val="1D014A01"/>
    <w:rsid w:val="1D022362"/>
    <w:rsid w:val="1D1B04B0"/>
    <w:rsid w:val="1DA52501"/>
    <w:rsid w:val="1DB01D1E"/>
    <w:rsid w:val="1DBD6767"/>
    <w:rsid w:val="1DC52125"/>
    <w:rsid w:val="1DD26311"/>
    <w:rsid w:val="1E374ACB"/>
    <w:rsid w:val="1ECF0A66"/>
    <w:rsid w:val="1EF67CA4"/>
    <w:rsid w:val="1F020D3A"/>
    <w:rsid w:val="1F2C5189"/>
    <w:rsid w:val="1F4B0B02"/>
    <w:rsid w:val="1FBB35CD"/>
    <w:rsid w:val="1FCD26AF"/>
    <w:rsid w:val="20642787"/>
    <w:rsid w:val="21556F04"/>
    <w:rsid w:val="22403BD3"/>
    <w:rsid w:val="22AD3177"/>
    <w:rsid w:val="235417B6"/>
    <w:rsid w:val="24B92327"/>
    <w:rsid w:val="24C14514"/>
    <w:rsid w:val="2533755C"/>
    <w:rsid w:val="25791755"/>
    <w:rsid w:val="26396DF4"/>
    <w:rsid w:val="27167136"/>
    <w:rsid w:val="271B442C"/>
    <w:rsid w:val="27B23302"/>
    <w:rsid w:val="29310A5F"/>
    <w:rsid w:val="29C37A35"/>
    <w:rsid w:val="2A076083"/>
    <w:rsid w:val="2A73162E"/>
    <w:rsid w:val="2B167953"/>
    <w:rsid w:val="2B200583"/>
    <w:rsid w:val="2B2729C0"/>
    <w:rsid w:val="2B8209DE"/>
    <w:rsid w:val="2B821C91"/>
    <w:rsid w:val="2BF81A22"/>
    <w:rsid w:val="2C636760"/>
    <w:rsid w:val="2C6762A3"/>
    <w:rsid w:val="2D1D2CBE"/>
    <w:rsid w:val="2FCA4B37"/>
    <w:rsid w:val="2FE029D7"/>
    <w:rsid w:val="2FF06E00"/>
    <w:rsid w:val="30586FEC"/>
    <w:rsid w:val="315F0B22"/>
    <w:rsid w:val="31723383"/>
    <w:rsid w:val="31A15828"/>
    <w:rsid w:val="31D84415"/>
    <w:rsid w:val="32285F6F"/>
    <w:rsid w:val="32770556"/>
    <w:rsid w:val="329C0913"/>
    <w:rsid w:val="32AA0460"/>
    <w:rsid w:val="3337290D"/>
    <w:rsid w:val="33E31118"/>
    <w:rsid w:val="33EF7674"/>
    <w:rsid w:val="342D7BC6"/>
    <w:rsid w:val="352930DB"/>
    <w:rsid w:val="35573069"/>
    <w:rsid w:val="355F6038"/>
    <w:rsid w:val="358C217E"/>
    <w:rsid w:val="36C9128A"/>
    <w:rsid w:val="37841E99"/>
    <w:rsid w:val="37BF1123"/>
    <w:rsid w:val="38375A7C"/>
    <w:rsid w:val="383C3F15"/>
    <w:rsid w:val="38BE4696"/>
    <w:rsid w:val="3939115E"/>
    <w:rsid w:val="39B82A39"/>
    <w:rsid w:val="39C42CA8"/>
    <w:rsid w:val="39DC4FD6"/>
    <w:rsid w:val="39F03D7A"/>
    <w:rsid w:val="39F33306"/>
    <w:rsid w:val="3A2C1C67"/>
    <w:rsid w:val="3A6A77C9"/>
    <w:rsid w:val="3ADD7F09"/>
    <w:rsid w:val="3B1705E5"/>
    <w:rsid w:val="3B18334B"/>
    <w:rsid w:val="3B36794F"/>
    <w:rsid w:val="3B6F6EE0"/>
    <w:rsid w:val="3C566AD6"/>
    <w:rsid w:val="3C594871"/>
    <w:rsid w:val="3C6A5B02"/>
    <w:rsid w:val="3D083B3A"/>
    <w:rsid w:val="3D2757A1"/>
    <w:rsid w:val="3D3D4FC4"/>
    <w:rsid w:val="3DDF3AB1"/>
    <w:rsid w:val="3E1D0952"/>
    <w:rsid w:val="3E42660A"/>
    <w:rsid w:val="3E7555B1"/>
    <w:rsid w:val="3E787ED9"/>
    <w:rsid w:val="3F032E93"/>
    <w:rsid w:val="3F0527E5"/>
    <w:rsid w:val="3F4C52C6"/>
    <w:rsid w:val="3F694D83"/>
    <w:rsid w:val="3F885DCC"/>
    <w:rsid w:val="3FCD675E"/>
    <w:rsid w:val="4004000C"/>
    <w:rsid w:val="40760DD1"/>
    <w:rsid w:val="40BD5482"/>
    <w:rsid w:val="411B6CE5"/>
    <w:rsid w:val="412070D7"/>
    <w:rsid w:val="41314E40"/>
    <w:rsid w:val="41E0734B"/>
    <w:rsid w:val="426C1EA8"/>
    <w:rsid w:val="42736402"/>
    <w:rsid w:val="42E86A87"/>
    <w:rsid w:val="43307B09"/>
    <w:rsid w:val="439A3EB9"/>
    <w:rsid w:val="43BB152F"/>
    <w:rsid w:val="44C37687"/>
    <w:rsid w:val="45CB699A"/>
    <w:rsid w:val="46423C66"/>
    <w:rsid w:val="465B470D"/>
    <w:rsid w:val="469D6AD4"/>
    <w:rsid w:val="471E6C84"/>
    <w:rsid w:val="4748792B"/>
    <w:rsid w:val="475D719D"/>
    <w:rsid w:val="47674801"/>
    <w:rsid w:val="48225EF7"/>
    <w:rsid w:val="488F422B"/>
    <w:rsid w:val="48E36915"/>
    <w:rsid w:val="48EB6572"/>
    <w:rsid w:val="495C4A24"/>
    <w:rsid w:val="497135DF"/>
    <w:rsid w:val="4A263DF2"/>
    <w:rsid w:val="4A2F278B"/>
    <w:rsid w:val="4A6F6675"/>
    <w:rsid w:val="4B135857"/>
    <w:rsid w:val="4B7951CB"/>
    <w:rsid w:val="4B7C315C"/>
    <w:rsid w:val="4D1F53CA"/>
    <w:rsid w:val="4DAC4ACA"/>
    <w:rsid w:val="4DBE01D2"/>
    <w:rsid w:val="4EFD467F"/>
    <w:rsid w:val="4F0C6BA3"/>
    <w:rsid w:val="4F186D58"/>
    <w:rsid w:val="4FFE7F08"/>
    <w:rsid w:val="504B6EAA"/>
    <w:rsid w:val="50F06B6E"/>
    <w:rsid w:val="51064DCD"/>
    <w:rsid w:val="51D21804"/>
    <w:rsid w:val="52234D33"/>
    <w:rsid w:val="522F6E0C"/>
    <w:rsid w:val="52463BA1"/>
    <w:rsid w:val="52F163D4"/>
    <w:rsid w:val="531A2DB4"/>
    <w:rsid w:val="53C0244D"/>
    <w:rsid w:val="53DD4D4E"/>
    <w:rsid w:val="53E578CE"/>
    <w:rsid w:val="541330F0"/>
    <w:rsid w:val="54272666"/>
    <w:rsid w:val="543B029D"/>
    <w:rsid w:val="54861779"/>
    <w:rsid w:val="55084A4C"/>
    <w:rsid w:val="552256E1"/>
    <w:rsid w:val="554E5773"/>
    <w:rsid w:val="555829E0"/>
    <w:rsid w:val="555A3CBC"/>
    <w:rsid w:val="5582012B"/>
    <w:rsid w:val="558E4E05"/>
    <w:rsid w:val="55BE2E85"/>
    <w:rsid w:val="56530F5D"/>
    <w:rsid w:val="567700D3"/>
    <w:rsid w:val="56FF7E9E"/>
    <w:rsid w:val="578867FC"/>
    <w:rsid w:val="5842572D"/>
    <w:rsid w:val="5A3B59D6"/>
    <w:rsid w:val="5AD134D8"/>
    <w:rsid w:val="5BF41F67"/>
    <w:rsid w:val="5C263CE4"/>
    <w:rsid w:val="5C5D2777"/>
    <w:rsid w:val="5CF66BF3"/>
    <w:rsid w:val="5D290C69"/>
    <w:rsid w:val="5DA80C2C"/>
    <w:rsid w:val="5F2D4A41"/>
    <w:rsid w:val="5FC76E80"/>
    <w:rsid w:val="60C74F6C"/>
    <w:rsid w:val="61015958"/>
    <w:rsid w:val="61025A59"/>
    <w:rsid w:val="613D5BBC"/>
    <w:rsid w:val="61536C39"/>
    <w:rsid w:val="62944DD7"/>
    <w:rsid w:val="62FF6656"/>
    <w:rsid w:val="6319381F"/>
    <w:rsid w:val="63C25DC5"/>
    <w:rsid w:val="63C62057"/>
    <w:rsid w:val="64571EF5"/>
    <w:rsid w:val="64FB113D"/>
    <w:rsid w:val="656152C6"/>
    <w:rsid w:val="6587477F"/>
    <w:rsid w:val="658C3A08"/>
    <w:rsid w:val="65C031CA"/>
    <w:rsid w:val="65CE6852"/>
    <w:rsid w:val="66267C04"/>
    <w:rsid w:val="663F505A"/>
    <w:rsid w:val="666C2D2F"/>
    <w:rsid w:val="66AF5D7C"/>
    <w:rsid w:val="66EE5541"/>
    <w:rsid w:val="67924660"/>
    <w:rsid w:val="68407834"/>
    <w:rsid w:val="6883293E"/>
    <w:rsid w:val="688412AD"/>
    <w:rsid w:val="68EB1B71"/>
    <w:rsid w:val="696C0310"/>
    <w:rsid w:val="6A6C7940"/>
    <w:rsid w:val="6A9F1565"/>
    <w:rsid w:val="6AAD2300"/>
    <w:rsid w:val="6B474EF5"/>
    <w:rsid w:val="6BC938E5"/>
    <w:rsid w:val="6C0A5AC5"/>
    <w:rsid w:val="6C560CAE"/>
    <w:rsid w:val="6C576495"/>
    <w:rsid w:val="6D903FF5"/>
    <w:rsid w:val="6DA955B8"/>
    <w:rsid w:val="6DE346AB"/>
    <w:rsid w:val="6DE5391A"/>
    <w:rsid w:val="6EAB0EA2"/>
    <w:rsid w:val="6EFD1324"/>
    <w:rsid w:val="6F5A53AC"/>
    <w:rsid w:val="6FAC003D"/>
    <w:rsid w:val="6FD926BF"/>
    <w:rsid w:val="6FE55E12"/>
    <w:rsid w:val="6FFB2E76"/>
    <w:rsid w:val="708F6F7F"/>
    <w:rsid w:val="70D94BD3"/>
    <w:rsid w:val="71574775"/>
    <w:rsid w:val="71C34D91"/>
    <w:rsid w:val="72DB435C"/>
    <w:rsid w:val="72E2613A"/>
    <w:rsid w:val="72F771F4"/>
    <w:rsid w:val="73934AD2"/>
    <w:rsid w:val="750837F0"/>
    <w:rsid w:val="754758CF"/>
    <w:rsid w:val="75595ECD"/>
    <w:rsid w:val="764F62AB"/>
    <w:rsid w:val="765C45EC"/>
    <w:rsid w:val="768A7619"/>
    <w:rsid w:val="76BD23AB"/>
    <w:rsid w:val="772E1EBA"/>
    <w:rsid w:val="781926BC"/>
    <w:rsid w:val="796D60A4"/>
    <w:rsid w:val="79A031D5"/>
    <w:rsid w:val="79B47FDF"/>
    <w:rsid w:val="79E569A9"/>
    <w:rsid w:val="7A1525F7"/>
    <w:rsid w:val="7B420052"/>
    <w:rsid w:val="7BD06A28"/>
    <w:rsid w:val="7C3A7C0B"/>
    <w:rsid w:val="7C5248E4"/>
    <w:rsid w:val="7C566698"/>
    <w:rsid w:val="7C5866A3"/>
    <w:rsid w:val="7D7406BB"/>
    <w:rsid w:val="7DE94331"/>
    <w:rsid w:val="7F446A19"/>
    <w:rsid w:val="7F74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rPr>
      <w:rFonts w:hint="eastAsia" w:ascii="宋体" w:hAnsi="宋体" w:eastAsia="宋体" w:cs="Times New Roman"/>
      <w:sz w:val="24"/>
      <w:szCs w:val="24"/>
      <w:lang w:val="en-US" w:eastAsia="zh-CN" w:bidi="ar-SA"/>
    </w:rPr>
  </w:style>
  <w:style w:type="character" w:default="1" w:styleId="12">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spacing w:after="120"/>
      <w:ind w:left="420" w:leftChars="200"/>
    </w:pPr>
    <w:rPr>
      <w:rFonts w:cs="宋体"/>
    </w:rPr>
  </w:style>
  <w:style w:type="paragraph" w:styleId="5">
    <w:name w:val="Balloon Text"/>
    <w:basedOn w:val="1"/>
    <w:link w:val="18"/>
    <w:qFormat/>
    <w:uiPriority w:val="0"/>
    <w:rPr>
      <w:sz w:val="18"/>
      <w:szCs w:val="18"/>
    </w:rPr>
  </w:style>
  <w:style w:type="paragraph" w:styleId="6">
    <w:name w:val="footer"/>
    <w:basedOn w:val="1"/>
    <w:qFormat/>
    <w:uiPriority w:val="0"/>
    <w:pPr>
      <w:tabs>
        <w:tab w:val="center" w:pos="4153"/>
        <w:tab w:val="right" w:pos="8306"/>
      </w:tabs>
      <w:snapToGrid w:val="0"/>
    </w:pPr>
    <w:rPr>
      <w:sz w:val="18"/>
      <w:szCs w:val="18"/>
    </w:rPr>
  </w:style>
  <w:style w:type="paragraph" w:styleId="7">
    <w:name w:val="header"/>
    <w:basedOn w:val="1"/>
    <w:qFormat/>
    <w:uiPriority w:val="0"/>
    <w:pPr>
      <w:tabs>
        <w:tab w:val="center" w:pos="4153"/>
        <w:tab w:val="right" w:pos="8306"/>
      </w:tabs>
      <w:snapToGrid w:val="0"/>
      <w:jc w:val="center"/>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9">
    <w:name w:val="Normal (Web)"/>
    <w:basedOn w:val="1"/>
    <w:unhideWhenUsed/>
    <w:qFormat/>
    <w:uiPriority w:val="0"/>
    <w:pPr>
      <w:spacing w:before="100" w:beforeAutospacing="1" w:after="100" w:afterAutospacing="1"/>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qFormat/>
    <w:uiPriority w:val="0"/>
    <w:rPr>
      <w:b/>
    </w:rPr>
  </w:style>
  <w:style w:type="paragraph" w:customStyle="1" w:styleId="14">
    <w:name w:val="列出段落1"/>
    <w:basedOn w:val="1"/>
    <w:qFormat/>
    <w:uiPriority w:val="99"/>
    <w:pPr>
      <w:ind w:firstLine="420" w:firstLineChars="200"/>
    </w:pPr>
    <w:rPr>
      <w:rFonts w:hint="default"/>
    </w:rPr>
  </w:style>
  <w:style w:type="paragraph" w:customStyle="1" w:styleId="15">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6">
    <w:name w:val="21"/>
    <w:basedOn w:val="12"/>
    <w:qFormat/>
    <w:uiPriority w:val="0"/>
    <w:rPr>
      <w:rFonts w:hint="default" w:ascii="Wingdings" w:hAnsi="Wingdings" w:cs="Wingdings"/>
      <w:b/>
      <w:bCs/>
    </w:rPr>
  </w:style>
  <w:style w:type="paragraph" w:customStyle="1" w:styleId="17">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8">
    <w:name w:val="批注框文本 Char"/>
    <w:basedOn w:val="12"/>
    <w:link w:val="5"/>
    <w:qFormat/>
    <w:uiPriority w:val="0"/>
    <w:rPr>
      <w:rFonts w:ascii="宋体" w:hAnsi="宋体"/>
      <w:sz w:val="18"/>
      <w:szCs w:val="18"/>
    </w:rPr>
  </w:style>
  <w:style w:type="paragraph" w:customStyle="1" w:styleId="19">
    <w:name w:val="列出段落3"/>
    <w:basedOn w:val="1"/>
    <w:qFormat/>
    <w:uiPriority w:val="99"/>
    <w:pPr>
      <w:ind w:firstLine="420" w:firstLineChars="200"/>
    </w:pPr>
  </w:style>
  <w:style w:type="character" w:customStyle="1" w:styleId="20">
    <w:name w:val="15"/>
    <w:basedOn w:val="12"/>
    <w:qFormat/>
    <w:uiPriority w:val="0"/>
    <w:rPr>
      <w:rFonts w:hint="default" w:ascii="Times New Roman" w:hAnsi="Times New Roman" w:cs="Times New Roman"/>
      <w: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5366</Words>
  <Characters>5914</Characters>
  <Lines>43</Lines>
  <Paragraphs>28</Paragraphs>
  <TotalTime>0</TotalTime>
  <ScaleCrop>false</ScaleCrop>
  <LinksUpToDate>false</LinksUpToDate>
  <CharactersWithSpaces>5975</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2024-07-11T02:00:00Z</dcterms:created>
  <dc:creator>Administrator</dc:creator>
  <cp:lastModifiedBy>葉苓筠#七</cp:lastModifiedBy>
  <dcterms:modified xsi:type="dcterms:W3CDTF">2025-11-04T06:22:00Z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56ADAEC5A3F84D55A9CD272FA991EB23_13</vt:lpwstr>
  </property>
  <property fmtid="{D5CDD505-2E9C-101B-9397-08002B2CF9AE}" pid="4" name="KSOTemplateDocerSaveRecord">
    <vt:lpwstr>eyJoZGlkIjoiMWJjZmNlZWJjN2M3NThlZTk0YjZlMjVmYmVmNTU1ZjkiLCJ1c2VySWQiOiIyNzM5NjM1NjQifQ==</vt:lpwstr>
  </property>
</Properties>
</file>