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44"/>
          <w:szCs w:val="44"/>
        </w:rPr>
        <w:t>重庆市涪陵区交通规划与技术发展中心2024年度决算公开说明</w:t>
      </w:r>
    </w:p>
    <w:p>
      <w:pPr>
        <w:pStyle w:val="6"/>
        <w:shd w:val="clear" w:color="auto" w:fill="FFFFFF"/>
        <w:rPr>
          <w:rFonts w:hint="default" w:ascii="黑体" w:hAnsi="黑体" w:eastAsia="黑体" w:cs="黑体"/>
          <w:sz w:val="32"/>
          <w:szCs w:val="32"/>
        </w:rPr>
      </w:pPr>
      <w:r>
        <w:rPr>
          <w:rStyle w:val="10"/>
          <w:rFonts w:ascii="黑体" w:hAnsi="黑体" w:eastAsia="黑体" w:cs="黑体"/>
          <w:sz w:val="32"/>
          <w:szCs w:val="32"/>
          <w:shd w:val="clear" w:color="auto" w:fill="FFFFFF"/>
        </w:rPr>
        <w:t>一、单位基本情况</w:t>
      </w:r>
    </w:p>
    <w:p>
      <w:pPr>
        <w:pStyle w:val="6"/>
        <w:shd w:val="clear" w:color="auto" w:fill="FFFFFF"/>
        <w:ind w:firstLine="420"/>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1.参与交通运输发展战略、规划、政策的研究，提供咨询服务。</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2.为交通工程建设、运行维护提供技术支撑和服务。</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3.承担交通工程造价事务工作。</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4.承担交通技术开发和推广的事务工作。</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5.承担交通规划、工程等档案管理的事务工作。</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6.完成区交通局交办的其他工作。</w:t>
      </w:r>
    </w:p>
    <w:p>
      <w:pPr>
        <w:pStyle w:val="6"/>
        <w:shd w:val="clear" w:color="auto" w:fill="FFFFFF"/>
        <w:ind w:firstLine="42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pPr>
        <w:widowControl w:val="0"/>
        <w:autoSpaceDE w:val="0"/>
        <w:autoSpaceDN w:val="0"/>
        <w:spacing w:line="560" w:lineRule="exact"/>
        <w:ind w:firstLine="640" w:firstLineChars="200"/>
        <w:jc w:val="both"/>
        <w:rPr>
          <w:rFonts w:hint="default" w:ascii="方正仿宋_GBK" w:hAnsi="Calibri" w:eastAsia="方正仿宋_GBK" w:cs="宋体"/>
          <w:kern w:val="2"/>
          <w:sz w:val="32"/>
          <w:szCs w:val="32"/>
        </w:rPr>
      </w:pPr>
      <w:r>
        <w:rPr>
          <w:rFonts w:ascii="方正仿宋_GBK" w:hAnsi="方正仿宋_GBK" w:eastAsia="方正仿宋_GBK" w:cs="方正仿宋_GBK"/>
          <w:kern w:val="2"/>
          <w:sz w:val="32"/>
          <w:szCs w:val="32"/>
        </w:rPr>
        <w:t>重庆市涪陵区交通规划与技术发展中心是隶属重庆市涪陵区交通运输委员会管理的正科级公益一类全额拨款事业单位，内设综合办公室和事务科两个科室，现有编制数19人，实有16人。</w:t>
      </w:r>
    </w:p>
    <w:p>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二、单位决算情况说明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3" w:firstLineChars="200"/>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2024年度收入总计364.08万元，支出总计</w:t>
      </w:r>
      <w:r>
        <w:rPr>
          <w:rFonts w:ascii="方正仿宋_GBK" w:hAnsi="方正仿宋_GBK" w:eastAsia="方正仿宋_GBK" w:cs="方正仿宋_GBK"/>
          <w:sz w:val="32"/>
          <w:szCs w:val="32"/>
        </w:rPr>
        <w:t>364.08</w:t>
      </w:r>
      <w:r>
        <w:rPr>
          <w:rFonts w:ascii="方正仿宋_GBK" w:hAnsi="方正仿宋_GBK" w:eastAsia="方正仿宋_GBK" w:cs="方正仿宋_GBK"/>
          <w:sz w:val="32"/>
          <w:szCs w:val="32"/>
          <w:shd w:val="clear" w:color="auto" w:fill="FFFFFF"/>
        </w:rPr>
        <w:t>万元。收、支与2023年度相比，增加20.26万元，增长5.9%，主要原因是养老保险、职业年金等社会保障费用上涨，相应收、支均增加。</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2024年度收入合计362.87万元，与2023年度相比，增加19.05万元，增长5.5%，主要原因是养老保险、职业年金等社会保障费用上涨，</w:t>
      </w:r>
      <w:r>
        <w:rPr>
          <w:rFonts w:ascii="方正仿宋_GBK" w:hAnsi="方正仿宋_GBK" w:eastAsia="方正仿宋_GBK" w:cs="方正仿宋_GBK"/>
          <w:kern w:val="2"/>
          <w:sz w:val="32"/>
          <w:szCs w:val="32"/>
        </w:rPr>
        <w:t>相应增加预算收入</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362.87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1.20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2024年度支出合计</w:t>
      </w:r>
      <w:r>
        <w:rPr>
          <w:rFonts w:ascii="方正仿宋_GBK" w:hAnsi="方正仿宋_GBK" w:eastAsia="方正仿宋_GBK" w:cs="方正仿宋_GBK"/>
          <w:sz w:val="32"/>
          <w:szCs w:val="32"/>
        </w:rPr>
        <w:t>364.08</w:t>
      </w:r>
      <w:r>
        <w:rPr>
          <w:rFonts w:ascii="方正仿宋_GBK" w:hAnsi="方正仿宋_GBK" w:eastAsia="方正仿宋_GBK" w:cs="方正仿宋_GBK"/>
          <w:sz w:val="32"/>
          <w:szCs w:val="32"/>
          <w:shd w:val="clear" w:color="auto" w:fill="FFFFFF"/>
        </w:rPr>
        <w:t>万元，与2023年度相比，增加20.26万元，增长5.9%，主要原因是养老保险、职业年金等社会保障费用上涨，</w:t>
      </w:r>
      <w:r>
        <w:rPr>
          <w:rFonts w:ascii="方正仿宋_GBK" w:hAnsi="方正仿宋_GBK" w:eastAsia="方正仿宋_GBK" w:cs="方正仿宋_GBK"/>
          <w:kern w:val="2"/>
          <w:sz w:val="32"/>
          <w:szCs w:val="32"/>
        </w:rPr>
        <w:t>相应增加支出</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327.87</w:t>
      </w:r>
      <w:r>
        <w:rPr>
          <w:rFonts w:ascii="方正仿宋_GBK" w:hAnsi="方正仿宋_GBK" w:eastAsia="方正仿宋_GBK" w:cs="方正仿宋_GBK"/>
          <w:sz w:val="32"/>
          <w:szCs w:val="32"/>
          <w:shd w:val="clear" w:color="auto" w:fill="FFFFFF"/>
        </w:rPr>
        <w:t>万元，占90.06%；项目支出</w:t>
      </w:r>
      <w:r>
        <w:rPr>
          <w:rFonts w:ascii="方正仿宋_GBK" w:hAnsi="方正仿宋_GBK" w:eastAsia="方正仿宋_GBK" w:cs="方正仿宋_GBK"/>
          <w:sz w:val="32"/>
          <w:szCs w:val="32"/>
        </w:rPr>
        <w:t>36.20</w:t>
      </w:r>
      <w:r>
        <w:rPr>
          <w:rFonts w:ascii="方正仿宋_GBK" w:hAnsi="方正仿宋_GBK" w:eastAsia="方正仿宋_GBK" w:cs="方正仿宋_GBK"/>
          <w:sz w:val="32"/>
          <w:szCs w:val="32"/>
          <w:shd w:val="clear" w:color="auto" w:fill="FFFFFF"/>
        </w:rPr>
        <w:t>万元，占9.94%；经营支出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2024年度年末结转和结余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万元，与2023年度相比，无增减，主要原因是</w:t>
      </w:r>
      <w:r>
        <w:rPr>
          <w:rFonts w:ascii="方正仿宋_GBK" w:hAnsi="方正仿宋_GBK" w:eastAsia="方正仿宋_GBK" w:cs="方正仿宋_GBK"/>
          <w:sz w:val="32"/>
          <w:szCs w:val="32"/>
        </w:rPr>
        <w:t>严格按照财政预算执行。</w:t>
      </w:r>
    </w:p>
    <w:p>
      <w:pPr>
        <w:pStyle w:val="6"/>
        <w:snapToGrid w:val="0"/>
        <w:spacing w:before="0" w:beforeAutospacing="0" w:after="0" w:afterAutospacing="0" w:line="60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2024年度财政拨款收、支总计364.08万元。与2022年相比，财政拨款收、支总计各增加20.26万元，增长5.9%。主要原因是养老保险、职业年金等社会保障费用上涨，相应财政拨款收、支均增加。</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2024年度一般公共预算财政拨款收入</w:t>
      </w:r>
      <w:r>
        <w:rPr>
          <w:rFonts w:ascii="方正仿宋_GBK" w:hAnsi="方正仿宋_GBK" w:eastAsia="方正仿宋_GBK" w:cs="方正仿宋_GBK"/>
          <w:sz w:val="32"/>
          <w:szCs w:val="32"/>
        </w:rPr>
        <w:t>362.87</w:t>
      </w:r>
      <w:r>
        <w:rPr>
          <w:rFonts w:ascii="方正仿宋_GBK" w:hAnsi="方正仿宋_GBK" w:eastAsia="方正仿宋_GBK" w:cs="方正仿宋_GBK"/>
          <w:sz w:val="32"/>
          <w:szCs w:val="32"/>
          <w:shd w:val="clear" w:color="auto" w:fill="FFFFFF"/>
        </w:rPr>
        <w:t>万元，与2023年度相比，增加19.05万元，增长5.5%。主要原因是养老保险、职业年金等社会保障费用上涨。较年初预算数增加29.60万元，增长8.9%。主要原因是养老保险、职业年金等社会保障费用上涨，导致追加预算。此外，年初财政拨款结转和结余</w:t>
      </w:r>
      <w:r>
        <w:rPr>
          <w:rFonts w:ascii="方正仿宋_GBK" w:hAnsi="方正仿宋_GBK" w:eastAsia="方正仿宋_GBK" w:cs="方正仿宋_GBK"/>
          <w:sz w:val="32"/>
          <w:szCs w:val="32"/>
        </w:rPr>
        <w:t>1.20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2024年度一般公共预算财政拨款支出</w:t>
      </w:r>
      <w:r>
        <w:rPr>
          <w:rFonts w:ascii="方正仿宋_GBK" w:hAnsi="方正仿宋_GBK" w:eastAsia="方正仿宋_GBK" w:cs="方正仿宋_GBK"/>
          <w:sz w:val="32"/>
          <w:szCs w:val="32"/>
        </w:rPr>
        <w:t>364.08</w:t>
      </w:r>
      <w:r>
        <w:rPr>
          <w:rFonts w:ascii="方正仿宋_GBK" w:hAnsi="方正仿宋_GBK" w:eastAsia="方正仿宋_GBK" w:cs="方正仿宋_GBK"/>
          <w:sz w:val="32"/>
          <w:szCs w:val="32"/>
          <w:shd w:val="clear" w:color="auto" w:fill="FFFFFF"/>
        </w:rPr>
        <w:t>万元，与2023年度相比，增加20.26万元，增长5.9%。主要原因是养老保险、职业年金等社会保障费用上涨。较年初预算数增加30.81万元，增长9.2%。主要原因是养老保险、职业年金等社会保障费用上涨。</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2024年度年末一般公共预算财政拨款结转和结余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万元，与2023年度相比，无增减，主要原因是</w:t>
      </w:r>
      <w:r>
        <w:rPr>
          <w:rFonts w:ascii="方正仿宋_GBK" w:hAnsi="方正仿宋_GBK" w:eastAsia="方正仿宋_GBK" w:cs="方正仿宋_GBK"/>
          <w:sz w:val="32"/>
          <w:szCs w:val="32"/>
        </w:rPr>
        <w:t>严格按照财政预算执行。</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本单位2024年度一般公共预算财政拨款支出主要用于以下几个方面：</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sz w:val="32"/>
          <w:szCs w:val="32"/>
          <w:shd w:val="clear" w:color="auto" w:fill="FFFFFF"/>
        </w:rPr>
        <w:t>（</w:t>
      </w:r>
      <w:r>
        <w:rPr>
          <w:rFonts w:hint="default" w:ascii="方正仿宋_GBK" w:hAnsi="方正仿宋_GBK" w:eastAsia="方正仿宋_GBK" w:cs="方正仿宋_GBK"/>
          <w:sz w:val="32"/>
          <w:szCs w:val="32"/>
          <w:shd w:val="clear" w:color="auto" w:fill="FFFFFF"/>
        </w:rPr>
        <w:t>1</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56.75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15.59</w:t>
      </w:r>
      <w:r>
        <w:rPr>
          <w:rFonts w:ascii="方正仿宋_GBK" w:hAnsi="方正仿宋_GBK" w:eastAsia="方正仿宋_GBK" w:cs="方正仿宋_GBK"/>
          <w:sz w:val="32"/>
          <w:szCs w:val="32"/>
          <w:shd w:val="clear" w:color="auto" w:fill="FFFFFF"/>
        </w:rPr>
        <w:t>%，较年初预算数增加29.00万元，增长104.5%，主要原因是</w:t>
      </w:r>
      <w:r>
        <w:rPr>
          <w:rFonts w:ascii="方正仿宋_GBK" w:hAnsi="方正仿宋_GBK" w:eastAsia="方正仿宋_GBK" w:cs="方正仿宋_GBK"/>
          <w:kern w:val="2"/>
          <w:sz w:val="32"/>
          <w:szCs w:val="32"/>
        </w:rPr>
        <w:t>预算追加职工基本养老保险、职业年金缴费。</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方正仿宋_GBK" w:hAnsi="方正仿宋_GBK" w:eastAsia="方正仿宋_GBK" w:cs="方正仿宋_GBK"/>
          <w:sz w:val="32"/>
          <w:szCs w:val="32"/>
          <w:shd w:val="clear" w:color="auto" w:fill="FFFFFF"/>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14.82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4.07</w:t>
      </w:r>
      <w:r>
        <w:rPr>
          <w:rFonts w:ascii="方正仿宋_GBK" w:hAnsi="方正仿宋_GBK" w:eastAsia="方正仿宋_GBK" w:cs="方正仿宋_GBK"/>
          <w:sz w:val="32"/>
          <w:szCs w:val="32"/>
          <w:shd w:val="clear" w:color="auto" w:fill="FFFFFF"/>
        </w:rPr>
        <w:t>%，较年初预算数减少0.45万元，下降3.0%，主要原因一方面是2</w:t>
      </w:r>
      <w:r>
        <w:rPr>
          <w:rFonts w:hint="default" w:ascii="方正仿宋_GBK" w:hAnsi="方正仿宋_GBK" w:eastAsia="方正仿宋_GBK" w:cs="方正仿宋_GBK"/>
          <w:sz w:val="32"/>
          <w:szCs w:val="32"/>
          <w:shd w:val="clear" w:color="auto" w:fill="FFFFFF"/>
        </w:rPr>
        <w:t>0</w:t>
      </w:r>
      <w:r>
        <w:rPr>
          <w:rFonts w:ascii="方正仿宋_GBK" w:hAnsi="方正仿宋_GBK" w:eastAsia="方正仿宋_GBK" w:cs="方正仿宋_GBK"/>
          <w:sz w:val="32"/>
          <w:szCs w:val="32"/>
          <w:shd w:val="clear" w:color="auto" w:fill="FFFFFF"/>
        </w:rPr>
        <w:t>24年初财政调剂收回了基本医疗保险预算0.74万元，另一方面是2024年8、9月份由于工资变动财政追加基本医疗保险预算0.29万元</w:t>
      </w:r>
      <w:r>
        <w:rPr>
          <w:rFonts w:ascii="方正仿宋_GBK" w:hAnsi="方正仿宋_GBK" w:eastAsia="方正仿宋_GBK" w:cs="方正仿宋_GBK"/>
          <w:kern w:val="2"/>
          <w:sz w:val="32"/>
          <w:szCs w:val="32"/>
        </w:rPr>
        <w:t>。</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（3）交通运输支出</w:t>
      </w:r>
      <w:r>
        <w:rPr>
          <w:rFonts w:ascii="方正仿宋_GBK" w:hAnsi="方正仿宋_GBK" w:eastAsia="方正仿宋_GBK" w:cs="方正仿宋_GBK"/>
          <w:sz w:val="32"/>
          <w:szCs w:val="32"/>
        </w:rPr>
        <w:t>279.15</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76.67</w:t>
      </w:r>
      <w:r>
        <w:rPr>
          <w:rFonts w:ascii="方正仿宋_GBK" w:hAnsi="方正仿宋_GBK" w:eastAsia="方正仿宋_GBK" w:cs="方正仿宋_GBK"/>
          <w:sz w:val="32"/>
          <w:szCs w:val="32"/>
          <w:shd w:val="clear" w:color="auto" w:fill="FFFFFF"/>
        </w:rPr>
        <w:t>%，较年初预算数增加2.77万元，增长1.0%，主要原因是在职人员工资福利增加。</w:t>
      </w:r>
    </w:p>
    <w:p>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方正仿宋_GBK" w:hAnsi="方正仿宋_GBK" w:eastAsia="方正仿宋_GBK" w:cs="方正仿宋_GBK"/>
          <w:sz w:val="32"/>
          <w:szCs w:val="32"/>
          <w:shd w:val="clear" w:color="auto" w:fill="FFFFFF"/>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住房保障支出13.36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3.67</w:t>
      </w:r>
      <w:r>
        <w:rPr>
          <w:rFonts w:ascii="方正仿宋_GBK" w:hAnsi="方正仿宋_GBK" w:eastAsia="方正仿宋_GBK" w:cs="方正仿宋_GBK"/>
          <w:sz w:val="32"/>
          <w:szCs w:val="32"/>
          <w:shd w:val="clear" w:color="auto" w:fill="FFFFFF"/>
        </w:rPr>
        <w:t>%，较年初预算数减少0.51万元，下降3.7%，主要原因是一方面是2</w:t>
      </w:r>
      <w:r>
        <w:rPr>
          <w:rFonts w:hint="default" w:ascii="方正仿宋_GBK" w:hAnsi="方正仿宋_GBK" w:eastAsia="方正仿宋_GBK" w:cs="方正仿宋_GBK"/>
          <w:sz w:val="32"/>
          <w:szCs w:val="32"/>
          <w:shd w:val="clear" w:color="auto" w:fill="FFFFFF"/>
        </w:rPr>
        <w:t>0</w:t>
      </w:r>
      <w:r>
        <w:rPr>
          <w:rFonts w:ascii="方正仿宋_GBK" w:hAnsi="方正仿宋_GBK" w:eastAsia="方正仿宋_GBK" w:cs="方正仿宋_GBK"/>
          <w:sz w:val="32"/>
          <w:szCs w:val="32"/>
          <w:shd w:val="clear" w:color="auto" w:fill="FFFFFF"/>
        </w:rPr>
        <w:t>24年初财政调剂收回了公积金预算0.86万元，另一方面是2</w:t>
      </w:r>
      <w:r>
        <w:rPr>
          <w:rFonts w:hint="default" w:ascii="方正仿宋_GBK" w:hAnsi="方正仿宋_GBK" w:eastAsia="方正仿宋_GBK" w:cs="方正仿宋_GBK"/>
          <w:sz w:val="32"/>
          <w:szCs w:val="32"/>
          <w:shd w:val="clear" w:color="auto" w:fill="FFFFFF"/>
        </w:rPr>
        <w:t>0</w:t>
      </w:r>
      <w:r>
        <w:rPr>
          <w:rFonts w:ascii="方正仿宋_GBK" w:hAnsi="方正仿宋_GBK" w:eastAsia="方正仿宋_GBK" w:cs="方正仿宋_GBK"/>
          <w:sz w:val="32"/>
          <w:szCs w:val="32"/>
          <w:shd w:val="clear" w:color="auto" w:fill="FFFFFF"/>
        </w:rPr>
        <w:t>24年8、9月份由于工资变动财政追加公积金预算0.34万元</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2024年度一般公共财政拨款基本支出</w:t>
      </w:r>
      <w:r>
        <w:rPr>
          <w:rFonts w:ascii="方正仿宋_GBK" w:hAnsi="方正仿宋_GBK" w:eastAsia="方正仿宋_GBK" w:cs="方正仿宋_GBK"/>
          <w:sz w:val="32"/>
          <w:szCs w:val="32"/>
        </w:rPr>
        <w:t>327.87</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295.87</w:t>
      </w:r>
      <w:r>
        <w:rPr>
          <w:rFonts w:ascii="方正仿宋_GBK" w:hAnsi="方正仿宋_GBK" w:eastAsia="方正仿宋_GBK" w:cs="方正仿宋_GBK"/>
          <w:sz w:val="32"/>
          <w:szCs w:val="32"/>
          <w:shd w:val="clear" w:color="auto" w:fill="FFFFFF"/>
        </w:rPr>
        <w:t>万元，与2023年度相比，增加11.21万元，增长3.9%，主要原因是工资福利支出增加。人员经费用途主要包括</w:t>
      </w:r>
      <w:r>
        <w:rPr>
          <w:rFonts w:ascii="方正仿宋_GBK" w:hAnsi="方正仿宋_GBK" w:eastAsia="方正仿宋_GBK" w:cs="方正仿宋_GBK"/>
          <w:kern w:val="2"/>
          <w:sz w:val="32"/>
          <w:szCs w:val="32"/>
        </w:rPr>
        <w:t>基本工资、津贴补贴、绩效工资、机关事业单位基本养老保险缴费、职业年金缴费、职工基本医疗保险缴费、其他社会保障缴费、住房公积金、医疗费、其他工资福利支出</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32.01</w:t>
      </w:r>
      <w:r>
        <w:rPr>
          <w:rFonts w:ascii="方正仿宋_GBK" w:hAnsi="方正仿宋_GBK" w:eastAsia="方正仿宋_GBK" w:cs="方正仿宋_GBK"/>
          <w:sz w:val="32"/>
          <w:szCs w:val="32"/>
          <w:shd w:val="clear" w:color="auto" w:fill="FFFFFF"/>
        </w:rPr>
        <w:t>万元，与2023年度相比，增加13.35万元，增长71.5%，主要原因是用于保障日常运转的公务用车运行维护费及其他交通费用增加，用于保障通信的邮电费增加，开展工会活动增加工会经费等。公用经费用途主要包括办公费、水电费、邮电费、培训费、维修（护）费、劳务费、工会经费、公务用车运行维护费、委托业务费、其他交通费用、其他商品和服务支出等。</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本单位2024年度无政府性基金预算财政拨款收支。</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本单位2024年度无国有资本经营预算财政拨款支出。</w:t>
      </w:r>
    </w:p>
    <w:p>
      <w:pPr>
        <w:pStyle w:val="6"/>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2024年度“三公”经费支出共计</w:t>
      </w:r>
      <w:r>
        <w:rPr>
          <w:rFonts w:ascii="方正仿宋_GBK" w:hAnsi="方正仿宋_GBK" w:eastAsia="方正仿宋_GBK" w:cs="方正仿宋_GBK"/>
          <w:sz w:val="32"/>
          <w:szCs w:val="32"/>
        </w:rPr>
        <w:t>5.14</w:t>
      </w:r>
      <w:r>
        <w:rPr>
          <w:rFonts w:ascii="方正仿宋_GBK" w:hAnsi="方正仿宋_GBK" w:eastAsia="方正仿宋_GBK" w:cs="方正仿宋_GBK"/>
          <w:sz w:val="32"/>
          <w:szCs w:val="32"/>
          <w:shd w:val="clear" w:color="auto" w:fill="FFFFFF"/>
        </w:rPr>
        <w:t>万元，较年初预算数减少2.16万元，下降29.6%，主要原因是2024年实际未产生公务接待。较上年支出数增加0.28万元，增长5.8%，主要原因是公务车辆使用年限比较久，产生的维修次数变多，费用上涨。</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kern w:val="2"/>
          <w:sz w:val="32"/>
          <w:szCs w:val="32"/>
        </w:rPr>
      </w:pPr>
      <w:r>
        <w:rPr>
          <w:rFonts w:ascii="方正仿宋_GBK" w:hAnsi="方正仿宋_GBK" w:eastAsia="方正仿宋_GBK" w:cs="方正仿宋_GBK"/>
          <w:sz w:val="32"/>
          <w:szCs w:val="32"/>
          <w:shd w:val="clear" w:color="auto" w:fill="FFFFFF"/>
        </w:rPr>
        <w:t>2024年度本单位因公出国（境）费用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万元，主要是用于</w:t>
      </w:r>
      <w:r>
        <w:rPr>
          <w:rFonts w:ascii="方正仿宋_GBK" w:hAnsi="方正仿宋_GBK" w:eastAsia="方正仿宋_GBK" w:cs="方正仿宋_GBK"/>
          <w:kern w:val="2"/>
          <w:sz w:val="32"/>
          <w:szCs w:val="32"/>
        </w:rPr>
        <w:t>公务出国。</w:t>
      </w:r>
      <w:r>
        <w:rPr>
          <w:rFonts w:ascii="方正仿宋_GBK" w:hAnsi="方正仿宋_GBK" w:eastAsia="方正仿宋_GBK" w:cs="方正仿宋_GBK"/>
          <w:sz w:val="32"/>
          <w:szCs w:val="32"/>
          <w:shd w:val="clear" w:color="auto" w:fill="FFFFFF"/>
        </w:rPr>
        <w:t>费用支出较年初预算数无增减，主要原因是</w:t>
      </w:r>
      <w:r>
        <w:rPr>
          <w:rFonts w:ascii="方正仿宋_GBK" w:hAnsi="方正仿宋_GBK" w:eastAsia="方正仿宋_GBK" w:cs="方正仿宋_GBK"/>
          <w:kern w:val="2"/>
          <w:sz w:val="32"/>
          <w:szCs w:val="32"/>
        </w:rPr>
        <w:t>严格按照预算执行。</w:t>
      </w:r>
      <w:r>
        <w:rPr>
          <w:rFonts w:ascii="方正仿宋_GBK" w:hAnsi="方正仿宋_GBK" w:eastAsia="方正仿宋_GBK" w:cs="方正仿宋_GBK"/>
          <w:sz w:val="32"/>
          <w:szCs w:val="32"/>
          <w:shd w:val="clear" w:color="auto" w:fill="FFFFFF"/>
        </w:rPr>
        <w:t>较上年支出数无增减，主要原因是</w:t>
      </w:r>
      <w:r>
        <w:rPr>
          <w:rFonts w:ascii="方正仿宋_GBK" w:hAnsi="方正仿宋_GBK" w:eastAsia="方正仿宋_GBK" w:cs="方正仿宋_GBK"/>
          <w:kern w:val="2"/>
          <w:sz w:val="32"/>
          <w:szCs w:val="32"/>
        </w:rPr>
        <w:t>本单位2024年度未发生因公出国（境）费用支出。</w:t>
      </w:r>
    </w:p>
    <w:p>
      <w:pPr>
        <w:pStyle w:val="6"/>
        <w:snapToGrid w:val="0"/>
        <w:spacing w:before="0" w:beforeAutospacing="0" w:after="0" w:afterAutospacing="0" w:line="600" w:lineRule="exact"/>
        <w:ind w:firstLine="640" w:firstLineChars="200"/>
        <w:jc w:val="both"/>
        <w:rPr>
          <w:rFonts w:hint="default" w:ascii="Cambria" w:hAnsi="Cambria" w:eastAsia="方正仿宋_GBK" w:cs="Cambria"/>
          <w:sz w:val="32"/>
          <w:szCs w:val="32"/>
          <w:shd w:val="clear" w:color="auto" w:fill="FFFFFF"/>
        </w:rPr>
      </w:pPr>
      <w:r>
        <w:rPr>
          <w:rFonts w:hint="default" w:ascii="方正仿宋_GBK" w:hAnsi="方正仿宋_GBK" w:eastAsia="方正仿宋_GBK" w:cs="方正仿宋_GBK"/>
          <w:sz w:val="32"/>
          <w:szCs w:val="32"/>
          <w:shd w:val="clear" w:color="auto" w:fill="FFFFFF"/>
        </w:rPr>
        <w:t>公务车购置费0.00万元，主要用于公务用车。费用支出较年初预算数无增减，主要原因是严格按照预算执行。较上年支出数无增减，主要原因是本单位2024年度未发生公务车购置费支出。</w:t>
      </w:r>
      <w:r>
        <w:rPr>
          <w:rFonts w:hint="default" w:ascii="Cambria" w:hAnsi="Cambria" w:eastAsia="方正仿宋_GBK" w:cs="Cambria"/>
          <w:sz w:val="32"/>
          <w:szCs w:val="32"/>
          <w:shd w:val="clear" w:color="auto" w:fill="FFFFFF"/>
        </w:rPr>
        <w:t> </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ascii="方正仿宋_GBK" w:hAnsi="方正仿宋_GBK" w:eastAsia="方正仿宋_GBK" w:cs="方正仿宋_GBK"/>
          <w:sz w:val="32"/>
          <w:szCs w:val="32"/>
        </w:rPr>
        <w:t>5.14</w:t>
      </w:r>
      <w:r>
        <w:rPr>
          <w:rFonts w:ascii="方正仿宋_GBK" w:hAnsi="方正仿宋_GBK" w:eastAsia="方正仿宋_GBK" w:cs="方正仿宋_GBK"/>
          <w:sz w:val="32"/>
          <w:szCs w:val="32"/>
          <w:shd w:val="clear" w:color="auto" w:fill="FFFFFF"/>
        </w:rPr>
        <w:t>万元，主要用于</w:t>
      </w:r>
      <w:r>
        <w:rPr>
          <w:rFonts w:ascii="方正仿宋_GBK" w:hAnsi="方正仿宋_GBK" w:eastAsia="方正仿宋_GBK" w:cs="方正仿宋_GBK"/>
          <w:kern w:val="2"/>
          <w:sz w:val="32"/>
          <w:szCs w:val="32"/>
        </w:rPr>
        <w:t>因公出行和专项业务检查等工</w:t>
      </w:r>
      <w:bookmarkStart w:id="0" w:name="_GoBack"/>
      <w:bookmarkEnd w:id="0"/>
      <w:r>
        <w:rPr>
          <w:rFonts w:ascii="方正仿宋_GBK" w:hAnsi="方正仿宋_GBK" w:eastAsia="方正仿宋_GBK" w:cs="方正仿宋_GBK"/>
          <w:kern w:val="2"/>
          <w:sz w:val="32"/>
          <w:szCs w:val="32"/>
        </w:rPr>
        <w:t>作所需车辆的燃料费、通行费、洗车费、维修费、保险费</w:t>
      </w:r>
      <w:r>
        <w:rPr>
          <w:rFonts w:ascii="方正仿宋_GBK" w:hAnsi="方正仿宋_GBK" w:eastAsia="方正仿宋_GBK" w:cs="方正仿宋_GBK"/>
          <w:sz w:val="32"/>
          <w:szCs w:val="32"/>
          <w:shd w:val="clear" w:color="auto" w:fill="FFFFFF"/>
        </w:rPr>
        <w:t>。费用支出较年初预算数减少0.86万元，下降14.3%，主要原因是</w:t>
      </w:r>
      <w:r>
        <w:rPr>
          <w:rFonts w:ascii="方正仿宋_GBK" w:hAnsi="方正仿宋_GBK" w:eastAsia="方正仿宋_GBK" w:cs="方正仿宋_GBK"/>
          <w:kern w:val="2"/>
          <w:sz w:val="32"/>
          <w:szCs w:val="32"/>
        </w:rPr>
        <w:t>厉行节约，从严控制</w:t>
      </w:r>
      <w:r>
        <w:rPr>
          <w:rFonts w:ascii="方正仿宋_GBK" w:hAnsi="方正仿宋_GBK" w:eastAsia="方正仿宋_GBK" w:cs="方正仿宋_GBK"/>
          <w:sz w:val="32"/>
          <w:szCs w:val="32"/>
          <w:shd w:val="clear" w:color="auto" w:fill="FFFFFF"/>
        </w:rPr>
        <w:t>公务车运行维护费支出。较上年支出数增加0.29万元，增长6.0%，主要原因是公务车辆使用年限比较久，产生的维修次数变多，费用上涨。</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万元，主要用于接待</w:t>
      </w:r>
      <w:r>
        <w:rPr>
          <w:rFonts w:ascii="方正仿宋_GBK" w:hAnsi="方正仿宋_GBK" w:eastAsia="方正仿宋_GBK" w:cs="方正仿宋_GBK"/>
          <w:kern w:val="2"/>
          <w:sz w:val="32"/>
          <w:szCs w:val="32"/>
        </w:rPr>
        <w:t>其他单位到我单位学习调研、接受相关单位检查指导工作发生的接待支出</w:t>
      </w:r>
      <w:r>
        <w:rPr>
          <w:rFonts w:ascii="方正仿宋_GBK" w:hAnsi="方正仿宋_GBK" w:eastAsia="方正仿宋_GBK" w:cs="方正仿宋_GBK"/>
          <w:sz w:val="32"/>
          <w:szCs w:val="32"/>
          <w:shd w:val="clear" w:color="auto" w:fill="FFFFFF"/>
        </w:rPr>
        <w:t>。费用支出较年初预算数减少1.30万元，下降100.0%，主要原因是本年未发生接待。较上年支出数减少0.01万元，下降100.0%，主要原因是本年未发生接待。</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2024年度本单位因公出国（境）共计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5.14</w:t>
      </w:r>
      <w:r>
        <w:rPr>
          <w:rFonts w:ascii="方正仿宋_GBK" w:hAnsi="方正仿宋_GBK" w:eastAsia="方正仿宋_GBK" w:cs="方正仿宋_GBK"/>
          <w:sz w:val="32"/>
          <w:szCs w:val="32"/>
          <w:shd w:val="clear" w:color="auto" w:fill="FFFFFF"/>
        </w:rPr>
        <w:t>万元。</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11"/>
        <w:autoSpaceDE w:val="0"/>
        <w:ind w:firstLine="739" w:firstLineChars="23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万元，与2023年度相比，减少0.61万元，下降100.0%，主要原因是因单位会议为内部办公会议，财政未保障我单位会议费。本年度培训费支出</w:t>
      </w:r>
      <w:r>
        <w:rPr>
          <w:rFonts w:ascii="方正仿宋_GBK" w:hAnsi="方正仿宋_GBK" w:eastAsia="方正仿宋_GBK" w:cs="方正仿宋_GBK"/>
          <w:sz w:val="32"/>
          <w:szCs w:val="32"/>
        </w:rPr>
        <w:t>0.12</w:t>
      </w:r>
      <w:r>
        <w:rPr>
          <w:rFonts w:ascii="方正仿宋_GBK" w:hAnsi="方正仿宋_GBK" w:eastAsia="方正仿宋_GBK" w:cs="方正仿宋_GBK"/>
          <w:sz w:val="32"/>
          <w:szCs w:val="32"/>
          <w:shd w:val="clear" w:color="auto" w:fill="FFFFFF"/>
        </w:rPr>
        <w:t>万元，与2023年度相比，减少2.25万元，下降94.9%，主要原因是较上年聚集培训减少。</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2024年度本部门机关运行经费支出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万元，机关运行经费主要用于开支</w:t>
      </w:r>
      <w:r>
        <w:rPr>
          <w:rFonts w:ascii="方正仿宋_GBK" w:hAnsi="方正仿宋_GBK" w:eastAsia="方正仿宋_GBK" w:cs="方正仿宋_GBK"/>
          <w:kern w:val="2"/>
          <w:sz w:val="32"/>
          <w:szCs w:val="32"/>
        </w:rPr>
        <w:t>机关运行相关费用</w:t>
      </w:r>
      <w:r>
        <w:rPr>
          <w:rFonts w:ascii="方正仿宋_GBK" w:hAnsi="方正仿宋_GBK" w:eastAsia="方正仿宋_GBK" w:cs="方正仿宋_GBK"/>
          <w:sz w:val="32"/>
          <w:szCs w:val="32"/>
          <w:shd w:val="clear" w:color="auto" w:fill="FFFFFF"/>
        </w:rPr>
        <w:t>。机关运行经费较上年决算数无增减，主要原因是</w:t>
      </w:r>
      <w:r>
        <w:rPr>
          <w:rFonts w:hint="default" w:ascii="方正仿宋_GBK" w:hAnsi="方正仿宋_GBK" w:eastAsia="方正仿宋_GBK" w:cs="方正仿宋_GBK"/>
          <w:sz w:val="32"/>
          <w:szCs w:val="32"/>
          <w:shd w:val="clear" w:color="auto" w:fill="FFFFFF"/>
        </w:rPr>
        <w:t>按照部门决算列报口径，我单位不在机关运行经费统计范围之内。</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截至2023年12月31日，本单位共有车辆</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1</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2024年度本单位政府采购支出总额</w:t>
      </w:r>
      <w:r>
        <w:rPr>
          <w:rFonts w:ascii="方正仿宋_GBK" w:hAnsi="方正仿宋_GBK" w:eastAsia="方正仿宋_GBK" w:cs="方正仿宋_GBK"/>
          <w:sz w:val="32"/>
          <w:szCs w:val="32"/>
        </w:rPr>
        <w:t>0.13</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0.13</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0.13万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0.13</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 xml:space="preserve"> %。主要用于采购</w:t>
      </w:r>
      <w:r>
        <w:rPr>
          <w:rFonts w:ascii="方正仿宋_GBK" w:hAnsi="方正仿宋_GBK" w:eastAsia="方正仿宋_GBK" w:cs="方正仿宋_GBK"/>
          <w:sz w:val="32"/>
          <w:szCs w:val="32"/>
        </w:rPr>
        <w:t>A4复印纸及打印机硒鼓零件。</w:t>
      </w:r>
    </w:p>
    <w:p>
      <w:pPr>
        <w:pStyle w:val="6"/>
        <w:numPr>
          <w:ilvl w:val="0"/>
          <w:numId w:val="1"/>
        </w:numPr>
        <w:shd w:val="clear" w:color="auto" w:fill="FFFFFF"/>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预算绩效管理情况说明</w:t>
      </w:r>
    </w:p>
    <w:p>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2"/>
        <w:autoSpaceDE w:val="0"/>
        <w:spacing w:before="0" w:beforeAutospacing="0" w:line="600" w:lineRule="exact"/>
        <w:ind w:firstLine="640"/>
        <w:rPr>
          <w:rFonts w:eastAsia="方正仿宋_GBK" w:cs="宋体"/>
          <w:sz w:val="32"/>
          <w:szCs w:val="32"/>
          <w:highlight w:val="yellow"/>
        </w:rPr>
      </w:pPr>
      <w:r>
        <w:rPr>
          <w:rFonts w:hint="eastAsia" w:ascii="方正仿宋_GBK" w:hAnsi="方正仿宋_GBK" w:eastAsia="方正仿宋_GBK" w:cs="方正仿宋_GBK"/>
          <w:sz w:val="32"/>
          <w:szCs w:val="32"/>
          <w:shd w:val="clear" w:color="auto" w:fill="FFFFFF"/>
        </w:rPr>
        <w:t>根据预算绩效管理要求，我单位对</w:t>
      </w:r>
      <w:r>
        <w:rPr>
          <w:rFonts w:ascii="方正仿宋_GBK" w:hAnsi="方正仿宋_GBK" w:eastAsia="方正仿宋_GBK" w:cs="方正仿宋_GBK"/>
          <w:sz w:val="32"/>
          <w:szCs w:val="32"/>
          <w:shd w:val="clear" w:color="auto" w:fill="FFFFFF"/>
        </w:rPr>
        <w:t>1</w:t>
      </w:r>
      <w:r>
        <w:rPr>
          <w:rFonts w:hint="eastAsia" w:ascii="方正仿宋_GBK" w:hAnsi="方正仿宋_GBK" w:eastAsia="方正仿宋_GBK" w:cs="方正仿宋_GBK"/>
          <w:sz w:val="32"/>
          <w:szCs w:val="32"/>
          <w:shd w:val="clear" w:color="auto" w:fill="FFFFFF"/>
        </w:rPr>
        <w:t>个项目开展了绩效自评。</w:t>
      </w:r>
    </w:p>
    <w:p>
      <w:pPr>
        <w:pStyle w:val="16"/>
        <w:numPr>
          <w:ilvl w:val="0"/>
          <w:numId w:val="2"/>
        </w:numPr>
        <w:ind w:firstLineChars="0"/>
        <w:rPr>
          <w:rFonts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项目支出绩效自评汇总表</w:t>
      </w:r>
    </w:p>
    <w:tbl>
      <w:tblPr>
        <w:tblStyle w:val="7"/>
        <w:tblW w:w="9566" w:type="dxa"/>
        <w:tblInd w:w="0" w:type="dxa"/>
        <w:tblLayout w:type="autofit"/>
        <w:tblCellMar>
          <w:top w:w="0" w:type="dxa"/>
          <w:left w:w="108" w:type="dxa"/>
          <w:bottom w:w="0" w:type="dxa"/>
          <w:right w:w="108" w:type="dxa"/>
        </w:tblCellMar>
      </w:tblPr>
      <w:tblGrid>
        <w:gridCol w:w="694"/>
        <w:gridCol w:w="6820"/>
        <w:gridCol w:w="2052"/>
      </w:tblGrid>
      <w:tr>
        <w:tblPrEx>
          <w:tblCellMar>
            <w:top w:w="0" w:type="dxa"/>
            <w:left w:w="108" w:type="dxa"/>
            <w:bottom w:w="0" w:type="dxa"/>
            <w:right w:w="108" w:type="dxa"/>
          </w:tblCellMar>
        </w:tblPrEx>
        <w:trPr>
          <w:trHeight w:val="465" w:hRule="atLeast"/>
        </w:trPr>
        <w:tc>
          <w:tcPr>
            <w:tcW w:w="9566" w:type="dxa"/>
            <w:gridSpan w:val="3"/>
            <w:tcBorders>
              <w:top w:val="nil"/>
              <w:left w:val="nil"/>
              <w:bottom w:val="single" w:color="auto" w:sz="4" w:space="0"/>
              <w:right w:val="nil"/>
            </w:tcBorders>
            <w:shd w:val="clear" w:color="auto" w:fill="auto"/>
            <w:vAlign w:val="center"/>
          </w:tcPr>
          <w:p>
            <w:pPr>
              <w:spacing w:line="560" w:lineRule="exact"/>
              <w:jc w:val="both"/>
              <w:rPr>
                <w:rFonts w:hint="default" w:ascii="方正仿宋_GBK" w:eastAsia="方正仿宋_GBK" w:cs="宋体"/>
                <w:b/>
                <w:color w:val="000000"/>
                <w:sz w:val="15"/>
                <w:szCs w:val="15"/>
              </w:rPr>
            </w:pPr>
          </w:p>
        </w:tc>
      </w:tr>
      <w:tr>
        <w:tblPrEx>
          <w:tblCellMar>
            <w:top w:w="0" w:type="dxa"/>
            <w:left w:w="108" w:type="dxa"/>
            <w:bottom w:w="0" w:type="dxa"/>
            <w:right w:w="108" w:type="dxa"/>
          </w:tblCellMar>
        </w:tblPrEx>
        <w:trPr>
          <w:trHeight w:val="648" w:hRule="atLeast"/>
        </w:trPr>
        <w:tc>
          <w:tcPr>
            <w:tcW w:w="694" w:type="dxa"/>
            <w:tcBorders>
              <w:top w:val="nil"/>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asciiTheme="minorEastAsia" w:hAnsiTheme="minorEastAsia" w:eastAsiaTheme="minorEastAsia" w:cstheme="minorEastAsia"/>
                <w:b/>
                <w:color w:val="000000"/>
                <w:sz w:val="18"/>
                <w:szCs w:val="18"/>
              </w:rPr>
            </w:pPr>
            <w:r>
              <w:rPr>
                <w:rFonts w:asciiTheme="minorEastAsia" w:hAnsiTheme="minorEastAsia" w:eastAsiaTheme="minorEastAsia" w:cstheme="minorEastAsia"/>
                <w:b/>
                <w:color w:val="000000"/>
                <w:sz w:val="18"/>
                <w:szCs w:val="18"/>
              </w:rPr>
              <w:t>序号</w:t>
            </w:r>
          </w:p>
        </w:tc>
        <w:tc>
          <w:tcPr>
            <w:tcW w:w="6820"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asciiTheme="minorEastAsia" w:hAnsiTheme="minorEastAsia" w:eastAsiaTheme="minorEastAsia" w:cstheme="minorEastAsia"/>
                <w:b/>
                <w:color w:val="000000"/>
                <w:sz w:val="18"/>
                <w:szCs w:val="18"/>
              </w:rPr>
            </w:pPr>
            <w:r>
              <w:rPr>
                <w:rFonts w:asciiTheme="minorEastAsia" w:hAnsiTheme="minorEastAsia" w:eastAsiaTheme="minorEastAsia" w:cstheme="minorEastAsia"/>
                <w:b/>
                <w:color w:val="000000"/>
                <w:sz w:val="18"/>
                <w:szCs w:val="18"/>
              </w:rPr>
              <w:t>项目名称</w:t>
            </w:r>
          </w:p>
        </w:tc>
        <w:tc>
          <w:tcPr>
            <w:tcW w:w="2050" w:type="dxa"/>
            <w:tcBorders>
              <w:top w:val="nil"/>
              <w:left w:val="nil"/>
              <w:bottom w:val="single" w:color="auto" w:sz="4" w:space="0"/>
              <w:right w:val="single" w:color="auto" w:sz="4" w:space="0"/>
            </w:tcBorders>
            <w:shd w:val="clear" w:color="auto" w:fill="auto"/>
            <w:noWrap/>
            <w:vAlign w:val="center"/>
          </w:tcPr>
          <w:p>
            <w:pPr>
              <w:spacing w:line="560" w:lineRule="exact"/>
              <w:jc w:val="center"/>
              <w:rPr>
                <w:rFonts w:hint="default" w:asciiTheme="minorEastAsia" w:hAnsiTheme="minorEastAsia" w:eastAsiaTheme="minorEastAsia" w:cstheme="minorEastAsia"/>
                <w:b/>
                <w:color w:val="000000"/>
                <w:sz w:val="18"/>
                <w:szCs w:val="18"/>
              </w:rPr>
            </w:pPr>
            <w:r>
              <w:rPr>
                <w:rFonts w:asciiTheme="minorEastAsia" w:hAnsiTheme="minorEastAsia" w:eastAsiaTheme="minorEastAsia" w:cstheme="minorEastAsia"/>
                <w:b/>
                <w:color w:val="000000"/>
                <w:sz w:val="18"/>
                <w:szCs w:val="18"/>
              </w:rPr>
              <w:t>自评得分</w:t>
            </w:r>
          </w:p>
        </w:tc>
      </w:tr>
      <w:tr>
        <w:tblPrEx>
          <w:tblCellMar>
            <w:top w:w="0" w:type="dxa"/>
            <w:left w:w="108" w:type="dxa"/>
            <w:bottom w:w="0" w:type="dxa"/>
            <w:right w:w="108" w:type="dxa"/>
          </w:tblCellMar>
        </w:tblPrEx>
        <w:trPr>
          <w:trHeight w:val="699" w:hRule="atLeast"/>
        </w:trPr>
        <w:tc>
          <w:tcPr>
            <w:tcW w:w="694" w:type="dxa"/>
            <w:tcBorders>
              <w:top w:val="nil"/>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asciiTheme="minorEastAsia" w:hAnsiTheme="minorEastAsia" w:eastAsiaTheme="minorEastAsia" w:cstheme="minorEastAsia"/>
                <w:b/>
                <w:color w:val="000000"/>
                <w:sz w:val="18"/>
                <w:szCs w:val="18"/>
              </w:rPr>
            </w:pPr>
            <w:r>
              <w:rPr>
                <w:rFonts w:asciiTheme="minorEastAsia" w:hAnsiTheme="minorEastAsia" w:eastAsiaTheme="minorEastAsia" w:cstheme="minorEastAsia"/>
                <w:b/>
                <w:color w:val="000000"/>
                <w:sz w:val="18"/>
                <w:szCs w:val="18"/>
              </w:rPr>
              <w:t>1</w:t>
            </w:r>
          </w:p>
        </w:tc>
        <w:tc>
          <w:tcPr>
            <w:tcW w:w="6820"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asciiTheme="minorEastAsia" w:hAnsiTheme="minorEastAsia" w:eastAsiaTheme="minorEastAsia" w:cstheme="minorEastAsia"/>
                <w:b/>
                <w:color w:val="000000"/>
                <w:sz w:val="18"/>
                <w:szCs w:val="18"/>
              </w:rPr>
            </w:pPr>
            <w:r>
              <w:rPr>
                <w:rFonts w:asciiTheme="minorEastAsia" w:hAnsiTheme="minorEastAsia" w:eastAsiaTheme="minorEastAsia" w:cstheme="minorEastAsia"/>
                <w:b/>
                <w:color w:val="000000"/>
                <w:sz w:val="18"/>
                <w:szCs w:val="18"/>
              </w:rPr>
              <w:t>开展工程质量安全监督检查指导专项工作</w:t>
            </w:r>
          </w:p>
        </w:tc>
        <w:tc>
          <w:tcPr>
            <w:tcW w:w="2050" w:type="dxa"/>
            <w:tcBorders>
              <w:top w:val="nil"/>
              <w:left w:val="nil"/>
              <w:bottom w:val="single" w:color="auto" w:sz="4" w:space="0"/>
              <w:right w:val="single" w:color="auto" w:sz="4" w:space="0"/>
            </w:tcBorders>
            <w:shd w:val="clear" w:color="auto" w:fill="auto"/>
            <w:noWrap/>
            <w:vAlign w:val="center"/>
          </w:tcPr>
          <w:p>
            <w:pPr>
              <w:spacing w:line="560" w:lineRule="exact"/>
              <w:jc w:val="center"/>
              <w:rPr>
                <w:rFonts w:hint="default" w:asciiTheme="minorEastAsia" w:hAnsiTheme="minorEastAsia" w:eastAsiaTheme="minorEastAsia" w:cstheme="minorEastAsia"/>
                <w:b/>
                <w:color w:val="000000"/>
                <w:sz w:val="18"/>
                <w:szCs w:val="18"/>
              </w:rPr>
            </w:pPr>
            <w:r>
              <w:rPr>
                <w:rFonts w:asciiTheme="minorEastAsia" w:hAnsiTheme="minorEastAsia" w:eastAsiaTheme="minorEastAsia" w:cstheme="minorEastAsia"/>
                <w:b/>
                <w:color w:val="000000"/>
                <w:sz w:val="18"/>
                <w:szCs w:val="18"/>
              </w:rPr>
              <w:t>100</w:t>
            </w:r>
          </w:p>
        </w:tc>
      </w:tr>
    </w:tbl>
    <w:p>
      <w:pPr>
        <w:pStyle w:val="16"/>
        <w:ind w:left="870" w:firstLine="0" w:firstLineChars="0"/>
      </w:pPr>
    </w:p>
    <w:p>
      <w:pPr>
        <w:pStyle w:val="12"/>
        <w:numPr>
          <w:ilvl w:val="0"/>
          <w:numId w:val="2"/>
        </w:numPr>
        <w:spacing w:before="0" w:beforeAutospacing="0" w:after="0" w:afterAutospacing="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项目支出绩效自评表</w:t>
      </w:r>
    </w:p>
    <w:tbl>
      <w:tblPr>
        <w:tblStyle w:val="7"/>
        <w:tblW w:w="9627" w:type="dxa"/>
        <w:tblInd w:w="0" w:type="dxa"/>
        <w:tblLayout w:type="autofit"/>
        <w:tblCellMar>
          <w:top w:w="0" w:type="dxa"/>
          <w:left w:w="108" w:type="dxa"/>
          <w:bottom w:w="0" w:type="dxa"/>
          <w:right w:w="108" w:type="dxa"/>
        </w:tblCellMar>
      </w:tblPr>
      <w:tblGrid>
        <w:gridCol w:w="855"/>
        <w:gridCol w:w="397"/>
        <w:gridCol w:w="274"/>
        <w:gridCol w:w="893"/>
        <w:gridCol w:w="89"/>
        <w:gridCol w:w="624"/>
        <w:gridCol w:w="830"/>
        <w:gridCol w:w="788"/>
        <w:gridCol w:w="240"/>
        <w:gridCol w:w="389"/>
        <w:gridCol w:w="675"/>
        <w:gridCol w:w="577"/>
        <w:gridCol w:w="417"/>
        <w:gridCol w:w="739"/>
        <w:gridCol w:w="975"/>
        <w:gridCol w:w="865"/>
      </w:tblGrid>
      <w:tr>
        <w:tblPrEx>
          <w:tblCellMar>
            <w:top w:w="0" w:type="dxa"/>
            <w:left w:w="108" w:type="dxa"/>
            <w:bottom w:w="0" w:type="dxa"/>
            <w:right w:w="108" w:type="dxa"/>
          </w:tblCellMar>
        </w:tblPrEx>
        <w:trPr>
          <w:trHeight w:val="601" w:hRule="atLeast"/>
        </w:trPr>
        <w:tc>
          <w:tcPr>
            <w:tcW w:w="125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项目名称：</w:t>
            </w:r>
          </w:p>
        </w:tc>
        <w:tc>
          <w:tcPr>
            <w:tcW w:w="1880" w:type="dxa"/>
            <w:gridSpan w:val="4"/>
            <w:tcBorders>
              <w:top w:val="single" w:color="auto" w:sz="4" w:space="0"/>
              <w:left w:val="nil"/>
              <w:bottom w:val="single" w:color="auto" w:sz="4" w:space="0"/>
              <w:right w:val="single" w:color="auto" w:sz="4" w:space="0"/>
            </w:tcBorders>
            <w:shd w:val="clear" w:color="auto" w:fill="auto"/>
            <w:vAlign w:val="center"/>
          </w:tcPr>
          <w:p>
            <w:pPr>
              <w:jc w:val="center"/>
              <w:rPr>
                <w:rFonts w:hint="default" w:cs="宋体"/>
                <w:color w:val="000000"/>
                <w:sz w:val="18"/>
                <w:szCs w:val="18"/>
              </w:rPr>
            </w:pPr>
            <w:r>
              <w:rPr>
                <w:rFonts w:ascii="方正仿宋_GBK" w:hAnsi="Times New Roman" w:eastAsia="方正仿宋_GBK"/>
                <w:b/>
                <w:color w:val="000000"/>
                <w:sz w:val="15"/>
                <w:szCs w:val="15"/>
              </w:rPr>
              <w:t>开展工程质量安全监督检查指导专项工作</w:t>
            </w:r>
          </w:p>
        </w:tc>
        <w:tc>
          <w:tcPr>
            <w:tcW w:w="1618" w:type="dxa"/>
            <w:gridSpan w:val="2"/>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执行率得分：</w:t>
            </w:r>
          </w:p>
        </w:tc>
        <w:tc>
          <w:tcPr>
            <w:tcW w:w="628" w:type="dxa"/>
            <w:gridSpan w:val="2"/>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hint="default" w:cs="宋体"/>
                <w:color w:val="000000"/>
                <w:sz w:val="18"/>
                <w:szCs w:val="18"/>
              </w:rPr>
            </w:pPr>
            <w:r>
              <w:rPr>
                <w:rFonts w:cs="宋体"/>
                <w:b/>
                <w:bCs/>
                <w:color w:val="000000"/>
                <w:sz w:val="18"/>
                <w:szCs w:val="18"/>
              </w:rPr>
              <w:t>10</w:t>
            </w:r>
          </w:p>
        </w:tc>
        <w:tc>
          <w:tcPr>
            <w:tcW w:w="1252" w:type="dxa"/>
            <w:gridSpan w:val="2"/>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自评总分：</w:t>
            </w:r>
          </w:p>
        </w:tc>
        <w:tc>
          <w:tcPr>
            <w:tcW w:w="2994" w:type="dxa"/>
            <w:gridSpan w:val="4"/>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r>
      <w:tr>
        <w:tblPrEx>
          <w:tblCellMar>
            <w:top w:w="0" w:type="dxa"/>
            <w:left w:w="108" w:type="dxa"/>
            <w:bottom w:w="0" w:type="dxa"/>
            <w:right w:w="108" w:type="dxa"/>
          </w:tblCellMar>
        </w:tblPrEx>
        <w:trPr>
          <w:trHeight w:val="521" w:hRule="atLeast"/>
        </w:trPr>
        <w:tc>
          <w:tcPr>
            <w:tcW w:w="962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绩效目标</w:t>
            </w:r>
          </w:p>
        </w:tc>
      </w:tr>
      <w:tr>
        <w:tblPrEx>
          <w:tblCellMar>
            <w:top w:w="0" w:type="dxa"/>
            <w:left w:w="108" w:type="dxa"/>
            <w:bottom w:w="0" w:type="dxa"/>
            <w:right w:w="108" w:type="dxa"/>
          </w:tblCellMar>
        </w:tblPrEx>
        <w:trPr>
          <w:trHeight w:val="614" w:hRule="atLeast"/>
        </w:trPr>
        <w:tc>
          <w:tcPr>
            <w:tcW w:w="250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sz w:val="18"/>
                <w:szCs w:val="18"/>
              </w:rPr>
            </w:pPr>
            <w:r>
              <w:rPr>
                <w:rFonts w:cs="宋体"/>
                <w:b/>
                <w:bCs/>
                <w:sz w:val="18"/>
                <w:szCs w:val="18"/>
              </w:rPr>
              <w:t>年初绩效目标</w:t>
            </w:r>
          </w:p>
        </w:tc>
        <w:tc>
          <w:tcPr>
            <w:tcW w:w="2871" w:type="dxa"/>
            <w:gridSpan w:val="5"/>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hint="default" w:cs="宋体"/>
                <w:b/>
                <w:bCs/>
                <w:sz w:val="18"/>
                <w:szCs w:val="18"/>
              </w:rPr>
            </w:pPr>
            <w:r>
              <w:rPr>
                <w:rFonts w:cs="宋体"/>
                <w:b/>
                <w:bCs/>
                <w:sz w:val="18"/>
                <w:szCs w:val="18"/>
              </w:rPr>
              <w:t>全年（调整）绩效目标</w:t>
            </w:r>
          </w:p>
        </w:tc>
        <w:tc>
          <w:tcPr>
            <w:tcW w:w="4247" w:type="dxa"/>
            <w:gridSpan w:val="6"/>
            <w:tcBorders>
              <w:top w:val="single" w:color="auto" w:sz="4" w:space="0"/>
              <w:left w:val="nil"/>
              <w:bottom w:val="single" w:color="auto" w:sz="4" w:space="0"/>
              <w:right w:val="single" w:color="auto" w:sz="4" w:space="0"/>
            </w:tcBorders>
            <w:shd w:val="clear" w:color="auto" w:fill="auto"/>
            <w:vAlign w:val="center"/>
          </w:tcPr>
          <w:p>
            <w:pPr>
              <w:spacing w:line="560" w:lineRule="exact"/>
              <w:jc w:val="center"/>
              <w:rPr>
                <w:rFonts w:hint="default" w:cs="宋体"/>
                <w:b/>
                <w:bCs/>
                <w:sz w:val="18"/>
                <w:szCs w:val="18"/>
              </w:rPr>
            </w:pPr>
            <w:r>
              <w:rPr>
                <w:rFonts w:cs="宋体"/>
                <w:b/>
                <w:bCs/>
                <w:sz w:val="18"/>
                <w:szCs w:val="18"/>
              </w:rPr>
              <w:t>全年目标实际完成情况</w:t>
            </w:r>
          </w:p>
        </w:tc>
      </w:tr>
      <w:tr>
        <w:tblPrEx>
          <w:tblCellMar>
            <w:top w:w="0" w:type="dxa"/>
            <w:left w:w="108" w:type="dxa"/>
            <w:bottom w:w="0" w:type="dxa"/>
            <w:right w:w="108" w:type="dxa"/>
          </w:tblCellMar>
        </w:tblPrEx>
        <w:trPr>
          <w:trHeight w:val="759" w:hRule="atLeast"/>
        </w:trPr>
        <w:tc>
          <w:tcPr>
            <w:tcW w:w="2508" w:type="dxa"/>
            <w:gridSpan w:val="5"/>
            <w:tcBorders>
              <w:top w:val="single" w:color="auto" w:sz="4" w:space="0"/>
              <w:left w:val="single" w:color="auto" w:sz="4" w:space="0"/>
              <w:bottom w:val="single" w:color="auto" w:sz="4" w:space="0"/>
              <w:right w:val="single" w:color="auto" w:sz="4" w:space="0"/>
            </w:tcBorders>
            <w:shd w:val="clear" w:color="auto" w:fill="auto"/>
          </w:tcPr>
          <w:p>
            <w:pPr>
              <w:jc w:val="center"/>
              <w:rPr>
                <w:rFonts w:hint="default" w:cs="宋体"/>
                <w:sz w:val="18"/>
                <w:szCs w:val="18"/>
              </w:rPr>
            </w:pPr>
            <w:r>
              <w:rPr>
                <w:rFonts w:cs="宋体"/>
                <w:b/>
                <w:bCs/>
                <w:color w:val="000000"/>
                <w:sz w:val="18"/>
                <w:szCs w:val="18"/>
              </w:rPr>
              <w:t>当年纳入监督检查指导的交通建设工程项目，质量合格率达98%以上</w:t>
            </w:r>
          </w:p>
        </w:tc>
        <w:tc>
          <w:tcPr>
            <w:tcW w:w="2871" w:type="dxa"/>
            <w:gridSpan w:val="5"/>
            <w:tcBorders>
              <w:top w:val="single" w:color="auto" w:sz="4" w:space="0"/>
              <w:left w:val="nil"/>
              <w:bottom w:val="single" w:color="auto" w:sz="4" w:space="0"/>
              <w:right w:val="single" w:color="auto" w:sz="4" w:space="0"/>
            </w:tcBorders>
            <w:shd w:val="clear" w:color="auto" w:fill="auto"/>
          </w:tcPr>
          <w:p>
            <w:pPr>
              <w:jc w:val="center"/>
              <w:rPr>
                <w:rFonts w:hint="default" w:cs="宋体"/>
                <w:sz w:val="18"/>
                <w:szCs w:val="18"/>
              </w:rPr>
            </w:pPr>
          </w:p>
        </w:tc>
        <w:tc>
          <w:tcPr>
            <w:tcW w:w="4247" w:type="dxa"/>
            <w:gridSpan w:val="6"/>
            <w:tcBorders>
              <w:top w:val="single" w:color="auto" w:sz="4" w:space="0"/>
              <w:left w:val="nil"/>
              <w:bottom w:val="single" w:color="auto" w:sz="4" w:space="0"/>
              <w:right w:val="single" w:color="auto" w:sz="4" w:space="0"/>
            </w:tcBorders>
            <w:shd w:val="clear" w:color="auto" w:fill="auto"/>
          </w:tcPr>
          <w:p>
            <w:pPr>
              <w:jc w:val="center"/>
              <w:rPr>
                <w:rFonts w:hint="default" w:cs="宋体"/>
                <w:sz w:val="18"/>
                <w:szCs w:val="18"/>
              </w:rPr>
            </w:pPr>
            <w:r>
              <w:rPr>
                <w:rFonts w:cs="宋体"/>
                <w:b/>
                <w:bCs/>
                <w:color w:val="000000"/>
                <w:sz w:val="18"/>
                <w:szCs w:val="18"/>
              </w:rPr>
              <w:t>当年纳入监督检查指导的交通建设工程项目，质量合格率达98%以上</w:t>
            </w:r>
          </w:p>
        </w:tc>
      </w:tr>
      <w:tr>
        <w:tblPrEx>
          <w:tblCellMar>
            <w:top w:w="0" w:type="dxa"/>
            <w:left w:w="108" w:type="dxa"/>
            <w:bottom w:w="0" w:type="dxa"/>
            <w:right w:w="108" w:type="dxa"/>
          </w:tblCellMar>
        </w:tblPrEx>
        <w:trPr>
          <w:trHeight w:val="521" w:hRule="atLeast"/>
        </w:trPr>
        <w:tc>
          <w:tcPr>
            <w:tcW w:w="9627"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绩效指标</w:t>
            </w:r>
          </w:p>
        </w:tc>
      </w:tr>
      <w:tr>
        <w:tblPrEx>
          <w:tblCellMar>
            <w:top w:w="0" w:type="dxa"/>
            <w:left w:w="108" w:type="dxa"/>
            <w:bottom w:w="0" w:type="dxa"/>
            <w:right w:w="108" w:type="dxa"/>
          </w:tblCellMar>
        </w:tblPrEx>
        <w:trPr>
          <w:trHeight w:val="1006" w:hRule="atLeast"/>
        </w:trPr>
        <w:tc>
          <w:tcPr>
            <w:tcW w:w="855" w:type="dxa"/>
            <w:tcBorders>
              <w:top w:val="nil"/>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指标名称</w:t>
            </w:r>
          </w:p>
        </w:tc>
        <w:tc>
          <w:tcPr>
            <w:tcW w:w="671" w:type="dxa"/>
            <w:gridSpan w:val="2"/>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计量单位</w:t>
            </w:r>
          </w:p>
        </w:tc>
        <w:tc>
          <w:tcPr>
            <w:tcW w:w="893"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指标性质</w:t>
            </w:r>
          </w:p>
        </w:tc>
        <w:tc>
          <w:tcPr>
            <w:tcW w:w="712" w:type="dxa"/>
            <w:gridSpan w:val="2"/>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指标值</w:t>
            </w:r>
          </w:p>
        </w:tc>
        <w:tc>
          <w:tcPr>
            <w:tcW w:w="830"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全年完成值</w:t>
            </w:r>
          </w:p>
        </w:tc>
        <w:tc>
          <w:tcPr>
            <w:tcW w:w="1028" w:type="dxa"/>
            <w:gridSpan w:val="2"/>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偏离度（%）</w:t>
            </w:r>
          </w:p>
        </w:tc>
        <w:tc>
          <w:tcPr>
            <w:tcW w:w="1063" w:type="dxa"/>
            <w:gridSpan w:val="2"/>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得分系数（%）</w:t>
            </w:r>
          </w:p>
        </w:tc>
        <w:tc>
          <w:tcPr>
            <w:tcW w:w="994" w:type="dxa"/>
            <w:gridSpan w:val="2"/>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指标权重</w:t>
            </w:r>
          </w:p>
        </w:tc>
        <w:tc>
          <w:tcPr>
            <w:tcW w:w="739"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指标得分</w:t>
            </w:r>
          </w:p>
        </w:tc>
        <w:tc>
          <w:tcPr>
            <w:tcW w:w="975"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是否核心指标</w:t>
            </w:r>
          </w:p>
        </w:tc>
        <w:tc>
          <w:tcPr>
            <w:tcW w:w="862" w:type="dxa"/>
            <w:tcBorders>
              <w:top w:val="nil"/>
              <w:left w:val="nil"/>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说明</w:t>
            </w:r>
          </w:p>
        </w:tc>
      </w:tr>
      <w:tr>
        <w:tblPrEx>
          <w:tblCellMar>
            <w:top w:w="0" w:type="dxa"/>
            <w:left w:w="108" w:type="dxa"/>
            <w:bottom w:w="0" w:type="dxa"/>
            <w:right w:w="108" w:type="dxa"/>
          </w:tblCellMar>
        </w:tblPrEx>
        <w:trPr>
          <w:trHeight w:val="1279"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检查项目次数</w:t>
            </w:r>
          </w:p>
        </w:tc>
        <w:tc>
          <w:tcPr>
            <w:tcW w:w="6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次</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75</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99</w:t>
            </w:r>
          </w:p>
        </w:tc>
        <w:tc>
          <w:tcPr>
            <w:tcW w:w="10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32</w:t>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9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否</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本年新增交通项目，检查项目次数增多且针对已发生安全事故的项目加大检测频率</w:t>
            </w:r>
          </w:p>
        </w:tc>
      </w:tr>
      <w:tr>
        <w:tblPrEx>
          <w:tblCellMar>
            <w:top w:w="0" w:type="dxa"/>
            <w:left w:w="108" w:type="dxa"/>
            <w:bottom w:w="0" w:type="dxa"/>
            <w:right w:w="108" w:type="dxa"/>
          </w:tblCellMar>
        </w:tblPrEx>
        <w:trPr>
          <w:trHeight w:val="1923"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排查消除交通建设项目安全隐患</w:t>
            </w:r>
          </w:p>
        </w:tc>
        <w:tc>
          <w:tcPr>
            <w:tcW w:w="6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个</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140</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313</w:t>
            </w:r>
          </w:p>
        </w:tc>
        <w:tc>
          <w:tcPr>
            <w:tcW w:w="10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123.57</w:t>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9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是</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随项目数量增加，检查次数变多，隐患排查增加</w:t>
            </w:r>
          </w:p>
        </w:tc>
      </w:tr>
      <w:tr>
        <w:tblPrEx>
          <w:tblCellMar>
            <w:top w:w="0" w:type="dxa"/>
            <w:left w:w="108" w:type="dxa"/>
            <w:bottom w:w="0" w:type="dxa"/>
            <w:right w:w="108" w:type="dxa"/>
          </w:tblCellMar>
        </w:tblPrEx>
        <w:trPr>
          <w:trHeight w:val="972"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受监项目数</w:t>
            </w:r>
          </w:p>
        </w:tc>
        <w:tc>
          <w:tcPr>
            <w:tcW w:w="6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个</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50</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53</w:t>
            </w:r>
          </w:p>
        </w:tc>
        <w:tc>
          <w:tcPr>
            <w:tcW w:w="10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6</w:t>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9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否</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随项目数量增加，检测次数增加</w:t>
            </w:r>
          </w:p>
        </w:tc>
      </w:tr>
      <w:tr>
        <w:tblPrEx>
          <w:tblCellMar>
            <w:top w:w="0" w:type="dxa"/>
            <w:left w:w="108" w:type="dxa"/>
            <w:bottom w:w="0" w:type="dxa"/>
            <w:right w:w="108" w:type="dxa"/>
          </w:tblCellMar>
        </w:tblPrEx>
        <w:trPr>
          <w:trHeight w:val="862"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完工工程项目合格率</w:t>
            </w:r>
          </w:p>
        </w:tc>
        <w:tc>
          <w:tcPr>
            <w:tcW w:w="6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98</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10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2.04</w:t>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9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是</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p>
        </w:tc>
      </w:tr>
      <w:tr>
        <w:tblPrEx>
          <w:tblCellMar>
            <w:top w:w="0" w:type="dxa"/>
            <w:left w:w="108" w:type="dxa"/>
            <w:bottom w:w="0" w:type="dxa"/>
            <w:right w:w="108" w:type="dxa"/>
          </w:tblCellMar>
        </w:tblPrEx>
        <w:trPr>
          <w:trHeight w:val="521"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交通建设项目检测率</w:t>
            </w:r>
          </w:p>
        </w:tc>
        <w:tc>
          <w:tcPr>
            <w:tcW w:w="6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90</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100</w:t>
            </w:r>
          </w:p>
        </w:tc>
        <w:tc>
          <w:tcPr>
            <w:tcW w:w="10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11.1</w:t>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9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20</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否</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p>
        </w:tc>
      </w:tr>
      <w:tr>
        <w:tblPrEx>
          <w:tblCellMar>
            <w:top w:w="0" w:type="dxa"/>
            <w:left w:w="108" w:type="dxa"/>
            <w:bottom w:w="0" w:type="dxa"/>
            <w:right w:w="108" w:type="dxa"/>
          </w:tblCellMar>
        </w:tblPrEx>
        <w:trPr>
          <w:trHeight w:val="706" w:hRule="atLeast"/>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cs="宋体"/>
                <w:b/>
                <w:bCs/>
                <w:color w:val="000000"/>
                <w:sz w:val="18"/>
                <w:szCs w:val="18"/>
              </w:rPr>
            </w:pPr>
            <w:r>
              <w:rPr>
                <w:rFonts w:cs="宋体"/>
                <w:b/>
                <w:bCs/>
                <w:color w:val="000000"/>
                <w:sz w:val="18"/>
                <w:szCs w:val="18"/>
              </w:rPr>
              <w:t>受益群众满意度</w:t>
            </w:r>
          </w:p>
        </w:tc>
        <w:tc>
          <w:tcPr>
            <w:tcW w:w="67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89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95</w:t>
            </w:r>
          </w:p>
        </w:tc>
        <w:tc>
          <w:tcPr>
            <w:tcW w:w="83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9</w:t>
            </w:r>
            <w:r>
              <w:rPr>
                <w:rFonts w:hint="default" w:cs="宋体"/>
                <w:b/>
                <w:bCs/>
                <w:color w:val="000000"/>
                <w:sz w:val="18"/>
                <w:szCs w:val="18"/>
              </w:rPr>
              <w:t>5</w:t>
            </w:r>
          </w:p>
        </w:tc>
        <w:tc>
          <w:tcPr>
            <w:tcW w:w="10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hint="default" w:cs="宋体"/>
                <w:b/>
                <w:bCs/>
                <w:color w:val="000000"/>
                <w:sz w:val="18"/>
                <w:szCs w:val="18"/>
              </w:rPr>
              <w:t>0</w:t>
            </w:r>
          </w:p>
        </w:tc>
        <w:tc>
          <w:tcPr>
            <w:tcW w:w="106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100</w:t>
            </w:r>
          </w:p>
        </w:tc>
        <w:tc>
          <w:tcPr>
            <w:tcW w:w="9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w:t>
            </w:r>
          </w:p>
        </w:tc>
        <w:tc>
          <w:tcPr>
            <w:tcW w:w="73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10</w:t>
            </w:r>
          </w:p>
        </w:tc>
        <w:tc>
          <w:tcPr>
            <w:tcW w:w="97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r>
              <w:rPr>
                <w:rFonts w:cs="宋体"/>
                <w:b/>
                <w:bCs/>
                <w:color w:val="000000"/>
                <w:sz w:val="18"/>
                <w:szCs w:val="18"/>
              </w:rPr>
              <w:t>否</w:t>
            </w:r>
          </w:p>
        </w:tc>
        <w:tc>
          <w:tcPr>
            <w:tcW w:w="862"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560" w:lineRule="exact"/>
              <w:jc w:val="center"/>
              <w:rPr>
                <w:rFonts w:hint="default" w:cs="宋体"/>
                <w:b/>
                <w:bCs/>
                <w:color w:val="000000"/>
                <w:sz w:val="18"/>
                <w:szCs w:val="18"/>
              </w:rPr>
            </w:pPr>
          </w:p>
        </w:tc>
      </w:tr>
    </w:tbl>
    <w:p>
      <w:pPr>
        <w:pStyle w:val="11"/>
        <w:autoSpaceDE w:val="0"/>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pPr>
        <w:tabs>
          <w:tab w:val="center" w:pos="4153"/>
          <w:tab w:val="left" w:pos="7275"/>
        </w:tabs>
        <w:spacing w:line="600" w:lineRule="exact"/>
        <w:ind w:firstLine="419" w:firstLineChars="131"/>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本单位没有委托第三方开展绩效评价。</w:t>
      </w:r>
    </w:p>
    <w:p>
      <w:pPr>
        <w:pStyle w:val="11"/>
        <w:keepNext w:val="0"/>
        <w:keepLines w:val="0"/>
        <w:pageBreakBefore w:val="0"/>
        <w:widowControl/>
        <w:kinsoku/>
        <w:wordWrap/>
        <w:overflowPunct/>
        <w:topLinePunct w:val="0"/>
        <w:autoSpaceDE w:val="0"/>
        <w:autoSpaceDN/>
        <w:bidi w:val="0"/>
        <w:adjustRightInd/>
        <w:snapToGrid/>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pPr>
        <w:pStyle w:val="11"/>
        <w:autoSpaceDE w:val="0"/>
        <w:ind w:firstLine="320" w:firstLineChars="1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区财政局未委托第三方对我单位开展绩效评价。</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六、专业名词解释</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七、决算公开联系方式及信息反馈渠道</w:t>
      </w:r>
    </w:p>
    <w:p>
      <w:pPr>
        <w:pStyle w:val="6"/>
        <w:snapToGrid w:val="0"/>
        <w:spacing w:before="0" w:beforeAutospacing="0" w:after="0" w:afterAutospacing="0" w:line="600" w:lineRule="exact"/>
        <w:ind w:firstLine="640" w:firstLineChars="200"/>
        <w:jc w:val="both"/>
        <w:rPr>
          <w:rStyle w:val="10"/>
          <w:rFonts w:hint="default" w:ascii="方正仿宋_GBK" w:hAnsi="方正仿宋_GBK" w:eastAsia="方正仿宋_GBK" w:cs="方正仿宋_GBK"/>
          <w:sz w:val="32"/>
          <w:szCs w:val="32"/>
          <w:shd w:val="clear" w:color="auto" w:fill="FFFF00"/>
        </w:rPr>
      </w:pPr>
      <w:r>
        <w:rPr>
          <w:rFonts w:ascii="方正仿宋_GBK" w:hAnsi="方正仿宋_GBK" w:eastAsia="方正仿宋_GBK" w:cs="方正仿宋_GBK"/>
          <w:sz w:val="32"/>
          <w:szCs w:val="32"/>
          <w:shd w:val="clear" w:color="auto" w:fill="FFFFFF"/>
        </w:rPr>
        <w:t>本单位决算公开信息反馈和联系方式：</w:t>
      </w:r>
    </w:p>
    <w:p>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default" w:ascii="方正仿宋_GBK" w:hAnsi="方正仿宋_GBK" w:eastAsia="方正仿宋_GBK" w:cs="方正仿宋_GBK"/>
          <w:sz w:val="32"/>
          <w:szCs w:val="32"/>
          <w:shd w:val="clear" w:color="auto" w:fill="FFFFFF"/>
        </w:rPr>
        <w:t>杨笛</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0</w:t>
      </w:r>
      <w:r>
        <w:rPr>
          <w:rFonts w:hint="default" w:ascii="方正仿宋_GBK" w:hAnsi="方正仿宋_GBK" w:eastAsia="方正仿宋_GBK" w:cs="方正仿宋_GBK"/>
          <w:sz w:val="32"/>
          <w:szCs w:val="32"/>
          <w:shd w:val="clear" w:color="auto" w:fill="FFFFFF"/>
        </w:rPr>
        <w:t>23-72807781</w:t>
      </w:r>
      <w:r>
        <w:rPr>
          <w:rFonts w:hint="eastAsia" w:ascii="方正仿宋_GBK" w:hAnsi="方正仿宋_GBK" w:eastAsia="方正仿宋_GBK" w:cs="方正仿宋_GBK"/>
          <w:sz w:val="32"/>
          <w:szCs w:val="32"/>
          <w:shd w:val="clear" w:color="auto" w:fill="FFFFFF"/>
          <w:lang w:eastAsia="zh-CN"/>
        </w:rPr>
        <w:t>。</w:t>
      </w:r>
    </w:p>
    <w:p>
      <w:pPr>
        <w:pStyle w:val="11"/>
        <w:autoSpaceDE w:val="0"/>
        <w:ind w:firstLine="0" w:firstLineChars="0"/>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pPr>
        <w:rPr>
          <w:rFonts w:hint="default" w:cs="宋体"/>
          <w:sz w:val="21"/>
          <w:szCs w:val="21"/>
        </w:rPr>
      </w:pPr>
    </w:p>
    <w:sectPr>
      <w:headerReference r:id="rId4" w:type="default"/>
      <w:footerReference r:id="rId5" w:type="default"/>
      <w:pgSz w:w="16839" w:h="11907"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3535" cy="147955"/>
              <wp:effectExtent l="0" t="0" r="0" b="0"/>
              <wp:wrapNone/>
              <wp:docPr id="3"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343535" cy="147955"/>
                      </a:xfrm>
                      <a:prstGeom prst="rect">
                        <a:avLst/>
                      </a:prstGeom>
                      <a:noFill/>
                      <a:ln>
                        <a:noFill/>
                      </a:ln>
                    </wps:spPr>
                    <wps:txbx>
                      <w:txbxContent>
                        <w:p>
                          <w:pPr>
                            <w:pStyle w:val="3"/>
                            <w:rPr>
                              <w:rFonts w:hint="default"/>
                            </w:rPr>
                          </w:pPr>
                          <w:r>
                            <w:fldChar w:fldCharType="begin"/>
                          </w:r>
                          <w:r>
                            <w:instrText xml:space="preserve"> PAGE  \* MERGEFORMAT </w:instrText>
                          </w:r>
                          <w:r>
                            <w:fldChar w:fldCharType="separate"/>
                          </w:r>
                          <w:r>
                            <w:rPr>
                              <w:rFonts w:hint="default"/>
                            </w:rPr>
                            <w:t>- 12 -</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65pt;width:27.05pt;mso-position-horizontal:center;mso-position-horizontal-relative:margin;mso-wrap-style:none;z-index:251661312;mso-width-relative:page;mso-height-relative:page;" filled="f" stroked="f" coordsize="21600,21600" o:gfxdata="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m26lT0gAAAAMBAAAPAAAAAAAAAAEAIAAAACIAAABkcnMvZG93bnJldi54bWxQ&#10;SwECFAAUAAAACACHTuJAhNS54P0BAAAEBAAADgAAAAAAAAABACAAAAAhAQAAZHJzL2Uyb0RvYy54&#10;bWxQSwUGAAAAAAYABgBZAQAAkAUAAAAA&#10;">
              <v:fill on="f" focussize="0,0"/>
              <v:stroke on="f"/>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- 12 -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400685" cy="147955"/>
              <wp:effectExtent l="0" t="0" r="0" b="0"/>
              <wp:wrapNone/>
              <wp:docPr id="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400685" cy="147955"/>
                      </a:xfrm>
                      <a:prstGeom prst="rect">
                        <a:avLst/>
                      </a:prstGeom>
                      <a:noFill/>
                      <a:ln>
                        <a:noFill/>
                      </a:ln>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15 -</w:t>
                          </w:r>
                          <w:r>
                            <w:fldChar w:fldCharType="end"/>
                          </w:r>
                          <w:r>
                            <w:t xml:space="preserve"> </w:t>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1.65pt;width:31.55pt;mso-position-horizontal:center;mso-position-horizontal-relative:margin;mso-wrap-style:none;z-index:251660288;mso-width-relative:page;mso-height-relative:page;" filled="f" stroked="f" coordsize="21600,21600" o:allowoverlap="f" o:gfxdata="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lDqPLRAAAAAwEAAA8AAAAAAAAAAQAgAAAAIgAAAGRycy9kb3ducmV2LnhtbFBL&#10;AQIUABQAAAAIAIdO4kDl+7e2/QEAAAQEAAAOAAAAAAAAAAEAIAAAACABAABkcnMvZTJvRG9jLnht&#10;bFBLBQYAAAAABgAGAFkBAACPBQAAAAA=&#10;">
              <v:fill on="f" focussize="0,0"/>
              <v:stroke on="f"/>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15 -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572135" cy="220980"/>
              <wp:effectExtent l="0" t="1905" r="0" b="0"/>
              <wp:wrapNone/>
              <wp:docPr id="1"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572135" cy="220980"/>
                      </a:xfrm>
                      <a:prstGeom prst="rect">
                        <a:avLst/>
                      </a:prstGeom>
                      <a:noFill/>
                      <a:ln>
                        <a:noFill/>
                      </a:ln>
                    </wps:spPr>
                    <wps:txbx>
                      <w:txbxContent>
                        <w:p>
                          <w:pPr>
                            <w:pStyle w:val="3"/>
                            <w:jc w:val="both"/>
                            <w:rPr>
                              <w:rFonts w:hint="default" w:cs="宋体"/>
                            </w:rPr>
                          </w:pPr>
                          <w:r>
                            <w:rPr>
                              <w:rFonts w:cs="宋体"/>
                            </w:rPr>
                            <w:t>— 27.1 —</w:t>
                          </w:r>
                        </w:p>
                      </w:txbxContent>
                    </wps:txbx>
                    <wps:bodyPr rot="0" vert="horz" wrap="none" lIns="0" tIns="0" rIns="0" bIns="0" anchor="t" anchorCtr="0" upright="1">
                      <a:noAutofit/>
                    </wps:bodyPr>
                  </wps:wsp>
                </a:graphicData>
              </a:graphic>
            </wp:anchor>
          </w:drawing>
        </mc:Choice>
        <mc:Fallback>
          <w:pict>
            <v:shape id="Text Box 1027" o:spid="_x0000_s1026" o:spt="202" type="#_x0000_t202" style="position:absolute;left:0pt;margin-top:1160.4pt;height:17.4pt;width:45.05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JfoUNYAAAAJAQAADwAAAAAAAAABACAAAAAiAAAAZHJzL2Rvd25yZXYu&#10;eG1sUEsBAhQAFAAAAAgAh07iQC/Sa0T9AQAABAQAAA4AAAAAAAAAAQAgAAAAJQEAAGRycy9lMm9E&#10;b2MueG1sUEsFBgAAAAAGAAYAWQEAAJQFAAAAAA==&#10;">
              <v:fill on="f" focussize="0,0"/>
              <v:stroke on="f"/>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abstractNum w:abstractNumId="1">
    <w:nsid w:val="22665EE6"/>
    <w:multiLevelType w:val="multilevel"/>
    <w:tmpl w:val="22665EE6"/>
    <w:lvl w:ilvl="0" w:tentative="0">
      <w:start w:val="1"/>
      <w:numFmt w:val="decimal"/>
      <w:lvlText w:val="%1."/>
      <w:lvlJc w:val="left"/>
      <w:pPr>
        <w:ind w:left="870" w:hanging="360"/>
      </w:pPr>
      <w:rPr>
        <w:rFonts w:hint="default"/>
      </w:rPr>
    </w:lvl>
    <w:lvl w:ilvl="1" w:tentative="0">
      <w:start w:val="1"/>
      <w:numFmt w:val="lowerLetter"/>
      <w:lvlText w:val="%2)"/>
      <w:lvlJc w:val="left"/>
      <w:pPr>
        <w:ind w:left="1350" w:hanging="420"/>
      </w:pPr>
    </w:lvl>
    <w:lvl w:ilvl="2" w:tentative="0">
      <w:start w:val="1"/>
      <w:numFmt w:val="lowerRoman"/>
      <w:lvlText w:val="%3."/>
      <w:lvlJc w:val="right"/>
      <w:pPr>
        <w:ind w:left="1770" w:hanging="420"/>
      </w:pPr>
    </w:lvl>
    <w:lvl w:ilvl="3" w:tentative="0">
      <w:start w:val="1"/>
      <w:numFmt w:val="decimal"/>
      <w:lvlText w:val="%4."/>
      <w:lvlJc w:val="left"/>
      <w:pPr>
        <w:ind w:left="2190" w:hanging="420"/>
      </w:pPr>
    </w:lvl>
    <w:lvl w:ilvl="4" w:tentative="0">
      <w:start w:val="1"/>
      <w:numFmt w:val="lowerLetter"/>
      <w:lvlText w:val="%5)"/>
      <w:lvlJc w:val="left"/>
      <w:pPr>
        <w:ind w:left="2610" w:hanging="420"/>
      </w:pPr>
    </w:lvl>
    <w:lvl w:ilvl="5" w:tentative="0">
      <w:start w:val="1"/>
      <w:numFmt w:val="lowerRoman"/>
      <w:lvlText w:val="%6."/>
      <w:lvlJc w:val="right"/>
      <w:pPr>
        <w:ind w:left="3030" w:hanging="420"/>
      </w:pPr>
    </w:lvl>
    <w:lvl w:ilvl="6" w:tentative="0">
      <w:start w:val="1"/>
      <w:numFmt w:val="decimal"/>
      <w:lvlText w:val="%7."/>
      <w:lvlJc w:val="left"/>
      <w:pPr>
        <w:ind w:left="3450" w:hanging="420"/>
      </w:pPr>
    </w:lvl>
    <w:lvl w:ilvl="7" w:tentative="0">
      <w:start w:val="1"/>
      <w:numFmt w:val="lowerLetter"/>
      <w:lvlText w:val="%8)"/>
      <w:lvlJc w:val="left"/>
      <w:pPr>
        <w:ind w:left="3870" w:hanging="420"/>
      </w:pPr>
    </w:lvl>
    <w:lvl w:ilvl="8" w:tentative="0">
      <w:start w:val="1"/>
      <w:numFmt w:val="lowerRoman"/>
      <w:lvlText w:val="%9."/>
      <w:lvlJc w:val="right"/>
      <w:pPr>
        <w:ind w:left="42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wYWQ1YTE0ZDA0NjgxYzlhMjZlMDExNTFmMWI3MmEifQ=="/>
  </w:docVars>
  <w:rsids>
    <w:rsidRoot w:val="00B03CCD"/>
    <w:rsid w:val="00012B8A"/>
    <w:rsid w:val="001E048B"/>
    <w:rsid w:val="001E66E7"/>
    <w:rsid w:val="00270E53"/>
    <w:rsid w:val="002B254B"/>
    <w:rsid w:val="004A597F"/>
    <w:rsid w:val="00550ABE"/>
    <w:rsid w:val="006E1C3E"/>
    <w:rsid w:val="0072757B"/>
    <w:rsid w:val="00770383"/>
    <w:rsid w:val="00776039"/>
    <w:rsid w:val="007819D4"/>
    <w:rsid w:val="007B419D"/>
    <w:rsid w:val="007E69AA"/>
    <w:rsid w:val="00853209"/>
    <w:rsid w:val="009B67B8"/>
    <w:rsid w:val="009D2B67"/>
    <w:rsid w:val="009D314B"/>
    <w:rsid w:val="00A7714A"/>
    <w:rsid w:val="00AA32AF"/>
    <w:rsid w:val="00B03CCD"/>
    <w:rsid w:val="00B05EC2"/>
    <w:rsid w:val="00BF694A"/>
    <w:rsid w:val="00C20C3E"/>
    <w:rsid w:val="00C951B7"/>
    <w:rsid w:val="00D067F8"/>
    <w:rsid w:val="00D53FB4"/>
    <w:rsid w:val="00F6560B"/>
    <w:rsid w:val="00F73F90"/>
    <w:rsid w:val="01474EBF"/>
    <w:rsid w:val="01F3521E"/>
    <w:rsid w:val="03B87EA0"/>
    <w:rsid w:val="03E3214F"/>
    <w:rsid w:val="044C50BA"/>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2E4AB6"/>
    <w:rsid w:val="189079DC"/>
    <w:rsid w:val="189B0D0B"/>
    <w:rsid w:val="18B43F7C"/>
    <w:rsid w:val="194A1770"/>
    <w:rsid w:val="19B57C14"/>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C636760"/>
    <w:rsid w:val="2C6762A3"/>
    <w:rsid w:val="2FC73665"/>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ADD7F09"/>
    <w:rsid w:val="3B1705E5"/>
    <w:rsid w:val="3B18334B"/>
    <w:rsid w:val="3B36794F"/>
    <w:rsid w:val="3B6F6EE0"/>
    <w:rsid w:val="3C566AD6"/>
    <w:rsid w:val="3C594871"/>
    <w:rsid w:val="3C6A5B02"/>
    <w:rsid w:val="3D2757A1"/>
    <w:rsid w:val="3D3D4FC4"/>
    <w:rsid w:val="3DDF3AB1"/>
    <w:rsid w:val="3E1D0952"/>
    <w:rsid w:val="3E42660A"/>
    <w:rsid w:val="3E7555B1"/>
    <w:rsid w:val="3E787ED9"/>
    <w:rsid w:val="3F032E93"/>
    <w:rsid w:val="3F0527E5"/>
    <w:rsid w:val="3F694D83"/>
    <w:rsid w:val="3F885DCC"/>
    <w:rsid w:val="3FCD675E"/>
    <w:rsid w:val="4004000C"/>
    <w:rsid w:val="40BD5482"/>
    <w:rsid w:val="411B6CE5"/>
    <w:rsid w:val="412070D7"/>
    <w:rsid w:val="41314E40"/>
    <w:rsid w:val="41E0734B"/>
    <w:rsid w:val="426C1EA8"/>
    <w:rsid w:val="42736402"/>
    <w:rsid w:val="42E86A87"/>
    <w:rsid w:val="43307B09"/>
    <w:rsid w:val="439A3EB9"/>
    <w:rsid w:val="43BB152F"/>
    <w:rsid w:val="44C37687"/>
    <w:rsid w:val="45CB699A"/>
    <w:rsid w:val="465B470D"/>
    <w:rsid w:val="469D6AD4"/>
    <w:rsid w:val="471E6C84"/>
    <w:rsid w:val="4748792B"/>
    <w:rsid w:val="475D719D"/>
    <w:rsid w:val="47674801"/>
    <w:rsid w:val="48225EF7"/>
    <w:rsid w:val="488F422B"/>
    <w:rsid w:val="48E36915"/>
    <w:rsid w:val="48EB6572"/>
    <w:rsid w:val="495C4A24"/>
    <w:rsid w:val="497135DF"/>
    <w:rsid w:val="49E334F6"/>
    <w:rsid w:val="4A263DF2"/>
    <w:rsid w:val="4A6F6675"/>
    <w:rsid w:val="4B135857"/>
    <w:rsid w:val="4B7951CB"/>
    <w:rsid w:val="4B7C315C"/>
    <w:rsid w:val="4DAC4ACA"/>
    <w:rsid w:val="4DBE01D2"/>
    <w:rsid w:val="4F0C6BA3"/>
    <w:rsid w:val="4F186D58"/>
    <w:rsid w:val="50F06B6E"/>
    <w:rsid w:val="51D21804"/>
    <w:rsid w:val="52234D33"/>
    <w:rsid w:val="522F6E0C"/>
    <w:rsid w:val="52463BA1"/>
    <w:rsid w:val="52476C1B"/>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F2438A9"/>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6C7940"/>
    <w:rsid w:val="6AAD2300"/>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50837F0"/>
    <w:rsid w:val="754758CF"/>
    <w:rsid w:val="764F62AB"/>
    <w:rsid w:val="765C45EC"/>
    <w:rsid w:val="768A7619"/>
    <w:rsid w:val="772E1EBA"/>
    <w:rsid w:val="781926BC"/>
    <w:rsid w:val="796D60A4"/>
    <w:rsid w:val="79A031D5"/>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字符"/>
    <w:basedOn w:val="9"/>
    <w:link w:val="2"/>
    <w:qFormat/>
    <w:uiPriority w:val="0"/>
    <w:rPr>
      <w:rFonts w:ascii="宋体" w:hAnsi="宋体"/>
      <w:sz w:val="18"/>
      <w:szCs w:val="18"/>
    </w:rPr>
  </w:style>
  <w:style w:type="paragraph" w:styleId="16">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4845</Words>
  <Characters>5423</Characters>
  <Lines>39</Lines>
  <Paragraphs>27</Paragraphs>
  <TotalTime>78</TotalTime>
  <ScaleCrop>false</ScaleCrop>
  <LinksUpToDate>false</LinksUpToDate>
  <CharactersWithSpaces>5457</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2025-10-11T08:12:00Z</dcterms:created>
  <dc:creator>Administrator</dc:creator>
  <cp:lastModifiedBy>Administrator</cp:lastModifiedBy>
  <dcterms:modified xsi:type="dcterms:W3CDTF">2025-11-10T07:44:32Z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BB46EABDBB2749749395447164B066B3_12</vt:lpwstr>
  </property>
  <property fmtid="{D5CDD505-2E9C-101B-9397-08002B2CF9AE}" pid="4" name="KSOTemplateDocerSaveRecord">
    <vt:lpwstr>eyJoZGlkIjoiMWJjZmNlZWJjN2M3NThlZTk0YjZlMjVmYmVmNTU1ZjkiLCJ1c2VySWQiOiIyNzM5NjM1NjQifQ==</vt:lpwstr>
  </property>
</Properties>
</file>