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052060">
      <w:pPr>
        <w:pStyle w:val="13"/>
        <w:spacing w:line="540" w:lineRule="exact"/>
        <w:jc w:val="center"/>
        <w:rPr>
          <w:rFonts w:hint="eastAsia" w:ascii="方正小标宋_GBK" w:hAnsi="方正小标宋_GBK" w:eastAsia="方正小标宋_GBK" w:cs="方正小标宋_GBK"/>
          <w:bCs/>
          <w:sz w:val="44"/>
          <w:szCs w:val="44"/>
          <w:shd w:val="clear" w:color="auto" w:fill="FFFFFF"/>
        </w:rPr>
      </w:pPr>
    </w:p>
    <w:p w14:paraId="77B1E4A7">
      <w:pPr>
        <w:pStyle w:val="13"/>
        <w:spacing w:line="540" w:lineRule="exact"/>
        <w:jc w:val="center"/>
        <w:rPr>
          <w:rFonts w:ascii="方正小标宋_GBK" w:hAnsi="方正小标宋_GBK" w:eastAsia="方正小标宋_GBK" w:cs="方正小标宋_GBK"/>
          <w:bCs/>
          <w:sz w:val="44"/>
          <w:szCs w:val="44"/>
          <w:shd w:val="clear" w:color="auto" w:fill="FFFFFF"/>
        </w:rPr>
      </w:pPr>
      <w:r>
        <w:rPr>
          <w:rFonts w:hint="eastAsia" w:ascii="方正小标宋_GBK" w:hAnsi="方正小标宋_GBK" w:eastAsia="方正小标宋_GBK" w:cs="方正小标宋_GBK"/>
          <w:bCs/>
          <w:sz w:val="44"/>
          <w:szCs w:val="44"/>
          <w:shd w:val="clear" w:color="auto" w:fill="FFFFFF"/>
        </w:rPr>
        <w:t>重庆市涪陵区人力资源和社会保障局</w:t>
      </w:r>
    </w:p>
    <w:p w14:paraId="18CE24DD">
      <w:pPr>
        <w:pStyle w:val="13"/>
        <w:widowControl w:val="0"/>
        <w:spacing w:line="540" w:lineRule="exact"/>
        <w:jc w:val="center"/>
      </w:pPr>
      <w:r>
        <w:rPr>
          <w:rFonts w:hint="eastAsia" w:ascii="方正小标宋_GBK" w:hAnsi="方正小标宋_GBK" w:eastAsia="方正小标宋_GBK" w:cs="方正小标宋_GBK"/>
          <w:bCs/>
          <w:kern w:val="2"/>
          <w:sz w:val="44"/>
          <w:szCs w:val="44"/>
          <w:shd w:val="clear" w:color="auto" w:fill="FFFFFF"/>
        </w:rPr>
        <w:t>关于废止《重庆市涪陵区人力资源和社会保障局等十八个单位关于印发对严重欠薪失信行为的责任主体实施联合惩戒合作备忘录的通知》的决定</w:t>
      </w:r>
    </w:p>
    <w:p w14:paraId="701834E2">
      <w:pPr>
        <w:widowControl/>
        <w:spacing w:line="540" w:lineRule="exact"/>
        <w:jc w:val="center"/>
        <w:rPr>
          <w:rFonts w:hint="eastAsia"/>
        </w:rPr>
      </w:pPr>
      <w:r>
        <w:rPr>
          <w:rFonts w:hint="eastAsia" w:ascii="Times New Roman" w:hAnsi="Times New Roman" w:eastAsia="方正仿宋_GBK" w:cs="Times New Roman"/>
          <w:sz w:val="32"/>
          <w:szCs w:val="32"/>
        </w:rPr>
        <w:t>涪陵人社发〔2025〕7号</w:t>
      </w:r>
    </w:p>
    <w:p w14:paraId="28C154AB">
      <w:pPr>
        <w:widowControl/>
        <w:spacing w:line="540" w:lineRule="exact"/>
        <w:jc w:val="center"/>
        <w:rPr>
          <w:rFonts w:ascii="宋体" w:hAnsi="宋体" w:eastAsia="宋体" w:cs="宋体"/>
          <w:sz w:val="44"/>
          <w:szCs w:val="44"/>
          <w:shd w:val="clear" w:color="auto" w:fill="FFFFFF"/>
        </w:rPr>
      </w:pPr>
    </w:p>
    <w:p w14:paraId="5E6B96FC">
      <w:pPr>
        <w:spacing w:line="600" w:lineRule="exact"/>
        <w:ind w:firstLine="640" w:firstLineChars="200"/>
        <w:rPr>
          <w:rFonts w:ascii="方正仿宋_GBK" w:hAnsi="方正仿宋_GBK" w:eastAsia="方正仿宋_GBK" w:cs="方正仿宋_GBK"/>
          <w:kern w:val="0"/>
          <w:sz w:val="32"/>
          <w:szCs w:val="32"/>
          <w:shd w:val="clear" w:color="auto" w:fill="FFFFFF"/>
        </w:rPr>
      </w:pPr>
      <w:r>
        <w:rPr>
          <w:rFonts w:hint="eastAsia" w:ascii="方正仿宋_GBK" w:hAnsi="方正仿宋_GBK" w:eastAsia="方正仿宋_GBK" w:cs="方正仿宋_GBK"/>
          <w:kern w:val="0"/>
          <w:sz w:val="32"/>
          <w:szCs w:val="32"/>
          <w:shd w:val="clear" w:color="auto" w:fill="FFFFFF"/>
        </w:rPr>
        <w:t xml:space="preserve">涪陵高新区（涪陵综保区）管委会，各镇人民政府、街道办事处，区政府各部门，有关单位： </w:t>
      </w:r>
    </w:p>
    <w:p w14:paraId="1756BAE9">
      <w:pPr>
        <w:spacing w:line="600" w:lineRule="exact"/>
        <w:ind w:firstLine="640" w:firstLineChars="200"/>
        <w:rPr>
          <w:rFonts w:ascii="方正仿宋_GBK" w:hAnsi="方正仿宋_GBK" w:eastAsia="方正仿宋_GBK" w:cs="方正仿宋_GBK"/>
          <w:kern w:val="0"/>
          <w:sz w:val="32"/>
          <w:szCs w:val="32"/>
          <w:shd w:val="clear" w:color="auto" w:fill="FFFFFF"/>
        </w:rPr>
      </w:pPr>
      <w:r>
        <w:rPr>
          <w:rFonts w:hint="eastAsia" w:ascii="方正仿宋_GBK" w:hAnsi="方正仿宋_GBK" w:eastAsia="方正仿宋_GBK" w:cs="方正仿宋_GBK"/>
          <w:kern w:val="0"/>
          <w:sz w:val="32"/>
          <w:szCs w:val="32"/>
          <w:shd w:val="clear" w:color="auto" w:fill="FFFFFF"/>
        </w:rPr>
        <w:t>根据《重庆市行政规范性文件管理办法》（重庆市人民政府令第329号）规定，经区人力社保局党委会议审议通过，决定将《重庆市涪陵区人力资源和社会保障局等十八个单位关于印发对严重欠薪失信行为的责任主体实施联合惩戒合作备忘录的通知》（涪人社发〔2017〕110号）予以废止。</w:t>
      </w:r>
    </w:p>
    <w:p w14:paraId="46D18F39">
      <w:pPr>
        <w:spacing w:line="600" w:lineRule="exact"/>
        <w:ind w:firstLine="640" w:firstLineChars="200"/>
        <w:rPr>
          <w:rFonts w:ascii="方正仿宋_GBK" w:hAnsi="方正仿宋_GBK" w:eastAsia="方正仿宋_GBK" w:cs="方正仿宋_GBK"/>
          <w:kern w:val="0"/>
          <w:sz w:val="32"/>
          <w:szCs w:val="32"/>
          <w:shd w:val="clear" w:color="auto" w:fill="FFFFFF"/>
        </w:rPr>
      </w:pPr>
      <w:r>
        <w:rPr>
          <w:rFonts w:hint="eastAsia" w:ascii="方正仿宋_GBK" w:hAnsi="方正仿宋_GBK" w:eastAsia="方正仿宋_GBK" w:cs="方正仿宋_GBK"/>
          <w:kern w:val="0"/>
          <w:sz w:val="32"/>
          <w:szCs w:val="32"/>
          <w:shd w:val="clear" w:color="auto" w:fill="FFFFFF"/>
        </w:rPr>
        <w:t>本决定自公布之日起施行。</w:t>
      </w:r>
    </w:p>
    <w:p w14:paraId="27F8F24D">
      <w:pPr>
        <w:spacing w:line="600" w:lineRule="exact"/>
        <w:ind w:firstLine="640" w:firstLineChars="200"/>
        <w:rPr>
          <w:rFonts w:ascii="方正仿宋_GBK" w:hAnsi="方正仿宋_GBK" w:eastAsia="方正仿宋_GBK" w:cs="方正仿宋_GBK"/>
          <w:kern w:val="0"/>
          <w:sz w:val="32"/>
          <w:szCs w:val="32"/>
          <w:shd w:val="clear" w:color="auto" w:fill="FFFFFF"/>
        </w:rPr>
      </w:pPr>
    </w:p>
    <w:p w14:paraId="007C7C15">
      <w:pPr>
        <w:spacing w:line="600" w:lineRule="exact"/>
        <w:ind w:firstLine="2240" w:firstLineChars="700"/>
        <w:rPr>
          <w:rFonts w:ascii="方正仿宋_GBK" w:hAnsi="方正仿宋_GBK" w:eastAsia="方正仿宋_GBK" w:cs="方正仿宋_GBK"/>
          <w:kern w:val="0"/>
          <w:sz w:val="32"/>
          <w:szCs w:val="32"/>
          <w:shd w:val="clear" w:color="auto" w:fill="FFFFFF"/>
        </w:rPr>
      </w:pPr>
      <w:r>
        <w:rPr>
          <w:rFonts w:hint="eastAsia" w:ascii="方正仿宋_GBK" w:hAnsi="方正仿宋_GBK" w:eastAsia="方正仿宋_GBK" w:cs="方正仿宋_GBK"/>
          <w:kern w:val="0"/>
          <w:sz w:val="32"/>
          <w:szCs w:val="32"/>
          <w:shd w:val="clear" w:color="auto" w:fill="FFFFFF"/>
        </w:rPr>
        <w:t>重庆市涪陵区人力资源和社会保障局</w:t>
      </w:r>
    </w:p>
    <w:p w14:paraId="7D1A3931">
      <w:pPr>
        <w:spacing w:line="600" w:lineRule="exact"/>
        <w:ind w:firstLine="3680" w:firstLineChars="1150"/>
        <w:rPr>
          <w:rFonts w:ascii="方正仿宋_GBK" w:hAnsi="方正仿宋_GBK" w:eastAsia="方正仿宋_GBK" w:cs="方正仿宋_GBK"/>
          <w:kern w:val="0"/>
          <w:sz w:val="32"/>
          <w:szCs w:val="32"/>
          <w:shd w:val="clear" w:color="auto" w:fill="FFFFFF"/>
        </w:rPr>
      </w:pPr>
      <w:r>
        <w:rPr>
          <w:rFonts w:hint="eastAsia" w:ascii="方正仿宋_GBK" w:hAnsi="方正仿宋_GBK" w:eastAsia="方正仿宋_GBK" w:cs="方正仿宋_GBK"/>
          <w:kern w:val="0"/>
          <w:sz w:val="32"/>
          <w:szCs w:val="32"/>
          <w:shd w:val="clear" w:color="auto" w:fill="FFFFFF"/>
        </w:rPr>
        <w:t>2025年12月10 日</w:t>
      </w:r>
    </w:p>
    <w:p w14:paraId="2EA786A8">
      <w:pPr>
        <w:spacing w:line="600" w:lineRule="exact"/>
        <w:ind w:firstLine="640" w:firstLineChars="200"/>
        <w:rPr>
          <w:rFonts w:ascii="方正仿宋_GBK" w:hAnsi="方正仿宋_GBK" w:eastAsia="方正仿宋_GBK" w:cs="方正仿宋_GBK"/>
          <w:kern w:val="0"/>
          <w:sz w:val="32"/>
          <w:szCs w:val="32"/>
          <w:shd w:val="clear" w:color="auto" w:fill="FFFFFF"/>
        </w:rPr>
      </w:pPr>
    </w:p>
    <w:p w14:paraId="1800E38B">
      <w:pPr>
        <w:spacing w:line="600" w:lineRule="exact"/>
        <w:rPr>
          <w:rFonts w:ascii="方正仿宋_GBK" w:hAnsi="方正仿宋_GBK" w:eastAsia="方正仿宋_GBK" w:cs="方正仿宋_GBK"/>
          <w:kern w:val="0"/>
          <w:sz w:val="32"/>
          <w:szCs w:val="32"/>
          <w:shd w:val="clear" w:color="auto" w:fill="FFFFFF"/>
        </w:rPr>
      </w:pPr>
      <w:r>
        <w:rPr>
          <w:rFonts w:hint="eastAsia" w:ascii="方正仿宋_GBK" w:hAnsi="方正仿宋_GBK" w:eastAsia="方正仿宋_GBK" w:cs="方正仿宋_GBK"/>
          <w:kern w:val="0"/>
          <w:sz w:val="32"/>
          <w:szCs w:val="32"/>
          <w:shd w:val="clear" w:color="auto" w:fill="FFFFFF"/>
        </w:rPr>
        <w:t>（此件公开发布）</w:t>
      </w:r>
    </w:p>
    <w:sectPr>
      <w:headerReference r:id="rId3" w:type="default"/>
      <w:footerReference r:id="rId4" w:type="default"/>
      <w:pgSz w:w="11906" w:h="16838"/>
      <w:pgMar w:top="1474" w:right="1848" w:bottom="1587" w:left="1962" w:header="851" w:footer="992" w:gutter="0"/>
      <w:pgNumType w:fmt="numberInDash"/>
      <w:cols w:space="0" w:num="1"/>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Arial">
    <w:altName w:val="DejaVu Sans"/>
    <w:panose1 w:val="020B0604020202020204"/>
    <w:charset w:val="00"/>
    <w:family w:val="swiss"/>
    <w:pitch w:val="default"/>
    <w:sig w:usb0="00000000" w:usb1="00000000" w:usb2="00000009" w:usb3="00000000" w:csb0="000001FF" w:csb1="00000000"/>
  </w:font>
  <w:font w:name="方正黑体_GBK">
    <w:panose1 w:val="02000000000000000000"/>
    <w:charset w:val="86"/>
    <w:family w:val="auto"/>
    <w:pitch w:val="default"/>
    <w:sig w:usb0="00000001" w:usb1="08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A8E3B5">
    <w:pPr>
      <w:pStyle w:val="7"/>
      <w:ind w:left="4788" w:leftChars="2280" w:firstLine="6400" w:firstLineChars="2000"/>
      <w:rPr>
        <w:sz w:val="32"/>
      </w:rPr>
    </w:pPr>
    <w:r>
      <w:rPr>
        <w:sz w:val="32"/>
      </w:rPr>
      <w:pict>
        <v:shape id="_x0000_s2050" o:spid="_x0000_s2050"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path/>
          <v:fill on="f" focussize="0,0"/>
          <v:stroke on="f" weight="0.5pt" joinstyle="miter"/>
          <v:imagedata o:title=""/>
          <o:lock v:ext="edit"/>
          <v:textbox inset="0mm,0mm,0mm,0mm" style="mso-fit-shape-to-text:t;">
            <w:txbxContent>
              <w:p w14:paraId="13BAE79F">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- 1 -</w:t>
                </w:r>
                <w:r>
                  <w:rPr>
                    <w:rFonts w:hint="eastAsia" w:ascii="宋体" w:hAnsi="宋体" w:eastAsia="宋体" w:cs="宋体"/>
                    <w:sz w:val="28"/>
                    <w:szCs w:val="28"/>
                  </w:rPr>
                  <w:fldChar w:fldCharType="end"/>
                </w:r>
              </w:p>
            </w:txbxContent>
          </v:textbox>
        </v:shape>
      </w:pict>
    </w:r>
  </w:p>
  <w:p w14:paraId="5FC3ECD6">
    <w:pPr>
      <w:pStyle w:val="7"/>
      <w:ind w:left="4788" w:leftChars="2280" w:firstLine="6400" w:firstLineChars="2000"/>
      <w:rPr>
        <w:sz w:val="32"/>
      </w:rPr>
    </w:pPr>
    <w:r>
      <w:rPr>
        <w:color w:val="FAFAFA"/>
        <w:sz w:val="32"/>
      </w:rPr>
      <w:pict>
        <v:line id="_x0000_s2049" o:spid="_x0000_s2049" o:spt="20" style="position:absolute;left:0pt;margin-left:-1.5pt;margin-top:11.05pt;height:0pt;width:652.6pt;z-index:251660288;mso-width-relative:page;mso-height-relative:page;" stroked="t" coordsize="21600,21600" o:gfxdata="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3Jgx31AAAAAkB&#10;AAAPAAAAAAAAAAEAIAAAACIAAABkcnMvZG93bnJldi54bWxQSwECFAAUAAAACACHTuJA9RTDf+YB&#10;AAC0AwAADgAAAAAAAAABACAAAAAjAQAAZHJzL2Uyb0RvYy54bWxQSwUGAAAAAAYABgBZAQAAewUA&#10;AAAA&#10;">
          <v:path arrowok="t"/>
          <v:fill focussize="0,0"/>
          <v:stroke weight="1.75pt" color="#005192" joinstyle="miter"/>
          <v:imagedata o:title=""/>
          <o:lock v:ext="edit"/>
        </v:line>
      </w:pict>
    </w:r>
  </w:p>
  <w:p w14:paraId="60B9819F">
    <w:pPr>
      <w:pStyle w:val="7"/>
      <w:wordWrap w:val="0"/>
      <w:jc w:val="right"/>
      <w:rPr>
        <w:rFonts w:ascii="宋体" w:hAnsi="宋体" w:eastAsia="宋体" w:cs="宋体"/>
        <w:b/>
        <w:bCs/>
        <w:color w:val="005192"/>
        <w:sz w:val="28"/>
        <w:szCs w:val="44"/>
      </w:rPr>
    </w:pPr>
    <w:r>
      <w:rPr>
        <w:rFonts w:hint="eastAsia" w:ascii="宋体" w:hAnsi="宋体" w:eastAsia="宋体" w:cs="宋体"/>
        <w:b/>
        <w:bCs/>
        <w:color w:val="005192"/>
        <w:sz w:val="28"/>
        <w:szCs w:val="44"/>
      </w:rPr>
      <w:t>重庆市涪陵区人力资源和社会保障局</w:t>
    </w:r>
    <w:bookmarkStart w:id="0" w:name="_GoBack"/>
    <w:bookmarkEnd w:id="0"/>
    <w:r>
      <w:rPr>
        <w:rFonts w:hint="eastAsia" w:ascii="宋体" w:hAnsi="宋体" w:eastAsia="宋体" w:cs="宋体"/>
        <w:b/>
        <w:bCs/>
        <w:color w:val="005192"/>
        <w:sz w:val="28"/>
        <w:szCs w:val="44"/>
      </w:rPr>
      <w:t>发布</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0A22F4">
    <w:pPr>
      <w:pStyle w:val="7"/>
      <w:textAlignment w:val="center"/>
      <w:rPr>
        <w:rFonts w:ascii="宋体" w:hAnsi="宋体" w:eastAsia="宋体" w:cs="宋体"/>
        <w:b/>
        <w:bCs/>
        <w:color w:val="005192"/>
        <w:sz w:val="32"/>
        <w:szCs w:val="32"/>
      </w:rPr>
    </w:pPr>
    <w:r>
      <w:rPr>
        <w:rFonts w:hint="eastAsia" w:ascii="宋体" w:hAnsi="宋体" w:eastAsia="宋体" w:cs="宋体"/>
        <w:b/>
        <w:bCs/>
        <w:color w:val="005192"/>
        <w:sz w:val="32"/>
      </w:rPr>
      <w:drawing>
        <wp:inline distT="0" distB="0" distL="114300" distR="114300">
          <wp:extent cx="308610" cy="308610"/>
          <wp:effectExtent l="0" t="0" r="21590" b="21590"/>
          <wp:docPr id="2" name="图片 3"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ascii="方正仿宋_GBK" w:hAnsi="方正仿宋_GBK" w:eastAsia="方正仿宋_GBK" w:cs="方正仿宋_GBK"/>
        <w:b/>
        <w:bCs/>
        <w:color w:val="000000" w:themeColor="text1"/>
        <w:sz w:val="32"/>
      </w:rPr>
      <w:pict>
        <v:line id="_x0000_s2051" o:spid="_x0000_s2051" o:spt="20" style="position:absolute;left:0pt;margin-left:-0.2pt;margin-top:36.4pt;height:0pt;width:651.15pt;z-index:251659264;mso-width-relative:page;mso-height-relative:page;" stroked="t" coordsize="21600,21600" o:gfxdata="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GL5YoHVAAAACAEAAA8AAAAAAAAAAQAgAAAAIgAAAGRycy9kb3ducmV2LnhtbFBLAQIUABQA&#10;AAAIAIdO4kDjsBHs8wEAAL0DAAAOAAAAAAAAAAEAIAAAACQBAABkcnMvZTJvRG9jLnhtbFBLBQYA&#10;AAAABgAGAFkBAACJBQAAAAA=&#10;">
          <v:path arrowok="t"/>
          <v:fill focussize="0,0"/>
          <v:stroke weight="1.75pt" color="#005192" joinstyle="miter"/>
          <v:imagedata o:title=""/>
          <o:lock v:ext="edit"/>
        </v:line>
      </w:pict>
    </w:r>
    <w:r>
      <w:rPr>
        <w:rFonts w:hint="eastAsia" w:ascii="宋体" w:hAnsi="宋体" w:eastAsia="宋体" w:cs="宋体"/>
        <w:b/>
        <w:bCs/>
        <w:color w:val="005192"/>
        <w:sz w:val="32"/>
      </w:rPr>
      <w:t>重庆市涪陵区人力资源和社会保障局</w:t>
    </w:r>
    <w:r>
      <w:rPr>
        <w:rFonts w:hint="eastAsia" w:ascii="宋体" w:hAnsi="宋体" w:eastAsia="宋体" w:cs="宋体"/>
        <w:b/>
        <w:bCs/>
        <w:color w:val="005192"/>
        <w:sz w:val="32"/>
        <w:szCs w:val="32"/>
      </w:rPr>
      <w:t>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HorizontalSpacing w:val="105"/>
  <w:drawingGridVerticalSpacing w:val="158"/>
  <w:displayHorizontalDrawingGridEvery w:val="2"/>
  <w:displayVerticalDrawingGridEvery w:val="2"/>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00172A27"/>
    <w:rsid w:val="005A38BD"/>
    <w:rsid w:val="00DF4BD2"/>
    <w:rsid w:val="00F7692F"/>
    <w:rsid w:val="019E71BD"/>
    <w:rsid w:val="01E93D58"/>
    <w:rsid w:val="04B679C3"/>
    <w:rsid w:val="05F07036"/>
    <w:rsid w:val="06E00104"/>
    <w:rsid w:val="080F63D8"/>
    <w:rsid w:val="09341458"/>
    <w:rsid w:val="098254C2"/>
    <w:rsid w:val="0A766EDE"/>
    <w:rsid w:val="0AD64BE8"/>
    <w:rsid w:val="0B0912D7"/>
    <w:rsid w:val="0E025194"/>
    <w:rsid w:val="0EEF0855"/>
    <w:rsid w:val="11DB7C71"/>
    <w:rsid w:val="152D2DCA"/>
    <w:rsid w:val="187168EA"/>
    <w:rsid w:val="196673CA"/>
    <w:rsid w:val="1CF734C9"/>
    <w:rsid w:val="1DEC284C"/>
    <w:rsid w:val="1E6523AC"/>
    <w:rsid w:val="22440422"/>
    <w:rsid w:val="22BB4BBB"/>
    <w:rsid w:val="25EB1AF4"/>
    <w:rsid w:val="2DD05FE1"/>
    <w:rsid w:val="2EAE3447"/>
    <w:rsid w:val="31A15F24"/>
    <w:rsid w:val="36FB1DF0"/>
    <w:rsid w:val="395347B5"/>
    <w:rsid w:val="39A232A0"/>
    <w:rsid w:val="39E745AA"/>
    <w:rsid w:val="3B5A6BBB"/>
    <w:rsid w:val="3CA154E3"/>
    <w:rsid w:val="3EDA13A6"/>
    <w:rsid w:val="3FF56C14"/>
    <w:rsid w:val="417B75E9"/>
    <w:rsid w:val="42430A63"/>
    <w:rsid w:val="42F058B7"/>
    <w:rsid w:val="436109F6"/>
    <w:rsid w:val="441A38D4"/>
    <w:rsid w:val="4504239D"/>
    <w:rsid w:val="4BC77339"/>
    <w:rsid w:val="4C9236C5"/>
    <w:rsid w:val="4E250A85"/>
    <w:rsid w:val="4FFD4925"/>
    <w:rsid w:val="505C172E"/>
    <w:rsid w:val="506405EA"/>
    <w:rsid w:val="52F46F0B"/>
    <w:rsid w:val="532B6A10"/>
    <w:rsid w:val="539E4E99"/>
    <w:rsid w:val="53D8014D"/>
    <w:rsid w:val="550C209A"/>
    <w:rsid w:val="55E064E0"/>
    <w:rsid w:val="572C6D10"/>
    <w:rsid w:val="5DC34279"/>
    <w:rsid w:val="5FCD688E"/>
    <w:rsid w:val="5FF9BDAA"/>
    <w:rsid w:val="608816D1"/>
    <w:rsid w:val="60EF4E7F"/>
    <w:rsid w:val="648B0A32"/>
    <w:rsid w:val="658F6764"/>
    <w:rsid w:val="665233C1"/>
    <w:rsid w:val="69AC0D42"/>
    <w:rsid w:val="6AD9688B"/>
    <w:rsid w:val="6B68303F"/>
    <w:rsid w:val="6D0E3F22"/>
    <w:rsid w:val="744E4660"/>
    <w:rsid w:val="753355A2"/>
    <w:rsid w:val="759F1C61"/>
    <w:rsid w:val="769F2DE8"/>
    <w:rsid w:val="76FDEB7C"/>
    <w:rsid w:val="79C65162"/>
    <w:rsid w:val="79EE7E31"/>
    <w:rsid w:val="7C9011D9"/>
    <w:rsid w:val="7DC651C5"/>
    <w:rsid w:val="7FCC2834"/>
    <w:rsid w:val="92DD1CEF"/>
    <w:rsid w:val="BD9D1569"/>
    <w:rsid w:val="EBDDA9D0"/>
    <w:rsid w:val="F05B4F69"/>
    <w:rsid w:val="F3DFED9A"/>
    <w:rsid w:val="F7F902F6"/>
    <w:rsid w:val="F97D9566"/>
    <w:rsid w:val="FDFF41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10">
    <w:name w:val="Default Paragraph Font"/>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Indent 2"/>
    <w:basedOn w:val="1"/>
    <w:link w:val="15"/>
    <w:qFormat/>
    <w:uiPriority w:val="0"/>
    <w:pPr>
      <w:spacing w:after="120" w:line="480" w:lineRule="auto"/>
      <w:ind w:left="420" w:leftChars="200"/>
    </w:pPr>
  </w:style>
  <w:style w:type="paragraph" w:styleId="5">
    <w:name w:val="Balloon Text"/>
    <w:basedOn w:val="1"/>
    <w:link w:val="14"/>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0"/>
    <w:pPr>
      <w:spacing w:beforeAutospacing="1" w:afterAutospacing="1"/>
      <w:jc w:val="left"/>
    </w:pPr>
    <w:rPr>
      <w:rFonts w:cs="Times New Roman"/>
      <w:kern w:val="0"/>
      <w:sz w:val="24"/>
    </w:rPr>
  </w:style>
  <w:style w:type="character" w:styleId="11">
    <w:name w:val="Strong"/>
    <w:basedOn w:val="10"/>
    <w:qFormat/>
    <w:uiPriority w:val="0"/>
    <w:rPr>
      <w:b/>
      <w:bCs/>
    </w:rPr>
  </w:style>
  <w:style w:type="character" w:styleId="12">
    <w:name w:val="annotation reference"/>
    <w:basedOn w:val="10"/>
    <w:qFormat/>
    <w:uiPriority w:val="0"/>
    <w:rPr>
      <w:sz w:val="21"/>
      <w:szCs w:val="21"/>
    </w:rPr>
  </w:style>
  <w:style w:type="paragraph" w:customStyle="1" w:styleId="13">
    <w:name w:val="p0"/>
    <w:basedOn w:val="1"/>
    <w:qFormat/>
    <w:uiPriority w:val="0"/>
    <w:pPr>
      <w:widowControl/>
    </w:pPr>
    <w:rPr>
      <w:rFonts w:ascii="Calibri" w:hAnsi="Calibri" w:eastAsia="宋体" w:cs="宋体"/>
      <w:kern w:val="0"/>
      <w:szCs w:val="32"/>
    </w:rPr>
  </w:style>
  <w:style w:type="character" w:customStyle="1" w:styleId="14">
    <w:name w:val="批注框文本 Char"/>
    <w:basedOn w:val="10"/>
    <w:link w:val="5"/>
    <w:qFormat/>
    <w:uiPriority w:val="0"/>
    <w:rPr>
      <w:rFonts w:asciiTheme="minorHAnsi" w:hAnsiTheme="minorHAnsi" w:eastAsiaTheme="minorEastAsia" w:cstheme="minorBidi"/>
      <w:kern w:val="2"/>
      <w:sz w:val="18"/>
      <w:szCs w:val="18"/>
    </w:rPr>
  </w:style>
  <w:style w:type="character" w:customStyle="1" w:styleId="15">
    <w:name w:val="正文文本缩进 2 Char"/>
    <w:basedOn w:val="10"/>
    <w:link w:val="4"/>
    <w:qFormat/>
    <w:uiPriority w:val="0"/>
    <w:rPr>
      <w:rFonts w:asciiTheme="minorHAnsi" w:hAnsiTheme="minorHAnsi" w:eastAsiaTheme="minorEastAsia" w:cstheme="minorBidi"/>
      <w:kern w:val="2"/>
      <w:sz w:val="21"/>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51"/>
    <customShpInfo spid="_x0000_s2050"/>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Pages>
  <Words>48</Words>
  <Characters>279</Characters>
  <Lines>2</Lines>
  <Paragraphs>1</Paragraphs>
  <TotalTime>5</TotalTime>
  <ScaleCrop>false</ScaleCrop>
  <LinksUpToDate>false</LinksUpToDate>
  <CharactersWithSpaces>326</CharactersWithSpaces>
  <Application>WPS Office_12.8.2.21299_F1E327BC-269C-435d-A152-05C5408002CA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2021-09-11T10:41:00Z</dcterms:created>
  <dc:creator>t</dc:creator>
  <cp:lastModifiedBy>GH</cp:lastModifiedBy>
  <cp:lastPrinted>2022-06-07T00:09:00Z</cp:lastPrinted>
  <dcterms:modified xsi:type="dcterms:W3CDTF">2026-01-14T15:34:00Z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2052-12.8.2.21299</vt:lpwstr>
  </property>
  <property fmtid="{D5CDD505-2E9C-101B-9397-08002B2CF9AE}" pid="3" name="ICV">
    <vt:lpwstr>48C61CB29D3F4D9384F5922CF0F7FFB4</vt:lpwstr>
  </property>
</Properties>
</file>