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ascii="Times New Roman" w:hAnsi="Times New Roman" w:eastAsia="仿宋_GB2312" w:cs="Times New Roman"/>
        </w:rPr>
      </w:pPr>
    </w:p>
    <w:p>
      <w:pPr>
        <w:spacing w:line="380" w:lineRule="exact"/>
        <w:jc w:val="center"/>
        <w:rPr>
          <w:rFonts w:hint="eastAsia" w:ascii="Times New Roman" w:hAnsi="Times New Roman" w:eastAsia="方正小标宋_GBK" w:cs="Times New Roman"/>
          <w:bCs/>
          <w:sz w:val="44"/>
          <w:szCs w:val="44"/>
        </w:rPr>
      </w:pPr>
    </w:p>
    <w:p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重庆市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涪陵区</w:t>
      </w:r>
      <w:r>
        <w:rPr>
          <w:rFonts w:ascii="Times New Roman" w:hAnsi="Times New Roman" w:eastAsia="方正小标宋_GBK" w:cs="Times New Roman"/>
          <w:sz w:val="44"/>
          <w:szCs w:val="44"/>
        </w:rPr>
        <w:t>生态环境局</w:t>
      </w:r>
    </w:p>
    <w:p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关于202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5</w:t>
      </w:r>
      <w:r>
        <w:rPr>
          <w:rFonts w:ascii="Times New Roman" w:hAnsi="Times New Roman" w:eastAsia="方正小标宋_GBK" w:cs="Times New Roman"/>
          <w:sz w:val="44"/>
          <w:szCs w:val="44"/>
        </w:rPr>
        <w:t>年度区级企业环境信用评价</w:t>
      </w:r>
    </w:p>
    <w:p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结果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的通知</w:t>
      </w:r>
    </w:p>
    <w:p>
      <w:pPr>
        <w:tabs>
          <w:tab w:val="left" w:pos="8222"/>
        </w:tabs>
        <w:spacing w:line="579" w:lineRule="exact"/>
        <w:jc w:val="center"/>
        <w:rPr>
          <w:rFonts w:ascii="Times New Roman" w:hAnsi="Times New Roman" w:eastAsia="方正仿宋_GBK" w:cs="Times New Roman"/>
        </w:rPr>
      </w:pPr>
      <w:r>
        <w:rPr>
          <w:rFonts w:ascii="Times New Roman" w:hAnsi="Times New Roman" w:eastAsia="方正仿宋_GBK" w:cs="Times New Roman"/>
        </w:rPr>
        <w:t>涪</w:t>
      </w:r>
      <w:r>
        <w:rPr>
          <w:rFonts w:hint="eastAsia" w:ascii="Times New Roman" w:hAnsi="Times New Roman" w:eastAsia="方正仿宋_GBK" w:cs="Times New Roman"/>
        </w:rPr>
        <w:t>陵</w:t>
      </w:r>
      <w:r>
        <w:rPr>
          <w:rFonts w:ascii="Times New Roman" w:hAnsi="Times New Roman" w:eastAsia="方正仿宋_GBK" w:cs="Times New Roman"/>
        </w:rPr>
        <w:t>环发〔202</w:t>
      </w:r>
      <w:r>
        <w:rPr>
          <w:rFonts w:hint="eastAsia" w:ascii="Times New Roman" w:hAnsi="Times New Roman" w:eastAsia="方正仿宋_GBK" w:cs="Times New Roman"/>
        </w:rPr>
        <w:t>6</w:t>
      </w:r>
      <w:r>
        <w:rPr>
          <w:rFonts w:ascii="Times New Roman" w:hAnsi="Times New Roman" w:eastAsia="方正仿宋_GBK" w:cs="Times New Roman"/>
        </w:rPr>
        <w:t>〕</w:t>
      </w:r>
      <w:r>
        <w:rPr>
          <w:rFonts w:hint="eastAsia" w:ascii="Times New Roman" w:hAnsi="Times New Roman" w:eastAsia="方正仿宋_GBK" w:cs="Times New Roman"/>
        </w:rPr>
        <w:t>24</w:t>
      </w:r>
      <w:r>
        <w:rPr>
          <w:rFonts w:ascii="Times New Roman" w:hAnsi="Times New Roman" w:eastAsia="方正仿宋_GBK" w:cs="Times New Roman"/>
        </w:rPr>
        <w:t>号</w:t>
      </w:r>
    </w:p>
    <w:p>
      <w:pPr>
        <w:pStyle w:val="2"/>
        <w:ind w:left="632"/>
        <w:rPr>
          <w:rFonts w:ascii="Times New Roman" w:hAnsi="Times New Roman"/>
        </w:rPr>
      </w:pPr>
    </w:p>
    <w:p>
      <w:pPr>
        <w:spacing w:line="579" w:lineRule="exact"/>
        <w:rPr>
          <w:rFonts w:ascii="Times New Roman" w:hAnsi="Times New Roman" w:eastAsia="方正仿宋_GBK" w:cs="Times New Roman"/>
          <w:szCs w:val="32"/>
        </w:rPr>
      </w:pPr>
      <w:r>
        <w:rPr>
          <w:rFonts w:ascii="Times New Roman" w:hAnsi="Times New Roman" w:eastAsia="方正仿宋_GBK" w:cs="Times New Roman"/>
          <w:szCs w:val="32"/>
        </w:rPr>
        <w:t>各</w:t>
      </w:r>
      <w:r>
        <w:rPr>
          <w:rFonts w:hint="eastAsia" w:ascii="Times New Roman" w:hAnsi="Times New Roman" w:eastAsia="方正仿宋_GBK" w:cs="Times New Roman"/>
          <w:szCs w:val="32"/>
        </w:rPr>
        <w:t>区级</w:t>
      </w:r>
      <w:r>
        <w:rPr>
          <w:rFonts w:ascii="Times New Roman" w:hAnsi="Times New Roman" w:eastAsia="方正仿宋_GBK" w:cs="Times New Roman"/>
          <w:szCs w:val="32"/>
        </w:rPr>
        <w:t>参评企业：</w:t>
      </w:r>
    </w:p>
    <w:p>
      <w:pPr>
        <w:spacing w:line="579" w:lineRule="exact"/>
        <w:ind w:firstLine="632" w:firstLineChars="200"/>
        <w:rPr>
          <w:rFonts w:ascii="Times New Roman" w:hAnsi="Times New Roman" w:eastAsia="方正仿宋_GBK" w:cs="Times New Roman"/>
          <w:szCs w:val="32"/>
        </w:rPr>
      </w:pPr>
      <w:r>
        <w:rPr>
          <w:rFonts w:ascii="Times New Roman" w:hAnsi="Times New Roman" w:eastAsia="方正仿宋_GBK" w:cs="Times New Roman"/>
          <w:szCs w:val="32"/>
        </w:rPr>
        <w:t>为深入推进环境信用体系建设，根据《重庆市企业环境信用评价办法》（渝环规〔2021〕7号）和重庆市生态环境局《关于开展2025年度企业环境信用评价工作的通知》（渝环办〔2026〕3号）文件要求，我局开展了202</w:t>
      </w:r>
      <w:r>
        <w:rPr>
          <w:rFonts w:hint="eastAsia" w:ascii="Times New Roman" w:hAnsi="Times New Roman" w:eastAsia="方正仿宋_GBK" w:cs="Times New Roman"/>
          <w:szCs w:val="32"/>
        </w:rPr>
        <w:t>5</w:t>
      </w:r>
      <w:r>
        <w:rPr>
          <w:rFonts w:ascii="Times New Roman" w:hAnsi="Times New Roman" w:eastAsia="方正仿宋_GBK" w:cs="Times New Roman"/>
          <w:szCs w:val="32"/>
        </w:rPr>
        <w:t>年度企业环境信用评价工作，经过名单发布、信息采集、评价审核、申诉复核等流程，认真完成了</w:t>
      </w:r>
      <w:r>
        <w:rPr>
          <w:rFonts w:hint="eastAsia" w:ascii="Times New Roman" w:hAnsi="Times New Roman" w:eastAsia="方正仿宋_GBK" w:cs="Times New Roman"/>
          <w:szCs w:val="32"/>
        </w:rPr>
        <w:t>122</w:t>
      </w:r>
      <w:r>
        <w:rPr>
          <w:rFonts w:ascii="Times New Roman" w:hAnsi="Times New Roman" w:eastAsia="方正仿宋_GBK" w:cs="Times New Roman"/>
          <w:szCs w:val="32"/>
        </w:rPr>
        <w:t>家区级企业环境信用评价工作。现将重庆市</w:t>
      </w:r>
      <w:r>
        <w:rPr>
          <w:rFonts w:hint="eastAsia" w:ascii="Times New Roman" w:hAnsi="Times New Roman" w:eastAsia="方正仿宋_GBK" w:cs="Times New Roman"/>
          <w:szCs w:val="32"/>
        </w:rPr>
        <w:t>涪陵区</w:t>
      </w:r>
      <w:r>
        <w:rPr>
          <w:rFonts w:ascii="Times New Roman" w:hAnsi="Times New Roman" w:eastAsia="方正仿宋_GBK" w:cs="Times New Roman"/>
          <w:szCs w:val="32"/>
        </w:rPr>
        <w:t>202</w:t>
      </w:r>
      <w:r>
        <w:rPr>
          <w:rFonts w:hint="eastAsia" w:ascii="Times New Roman" w:hAnsi="Times New Roman" w:eastAsia="方正仿宋_GBK" w:cs="Times New Roman"/>
          <w:szCs w:val="32"/>
        </w:rPr>
        <w:t>5</w:t>
      </w:r>
      <w:r>
        <w:rPr>
          <w:rFonts w:ascii="Times New Roman" w:hAnsi="Times New Roman" w:eastAsia="方正仿宋_GBK" w:cs="Times New Roman"/>
          <w:szCs w:val="32"/>
        </w:rPr>
        <w:t>年度</w:t>
      </w:r>
      <w:r>
        <w:rPr>
          <w:rFonts w:hint="eastAsia" w:ascii="Times New Roman" w:hAnsi="Times New Roman" w:eastAsia="方正仿宋_GBK" w:cs="Times New Roman"/>
          <w:szCs w:val="32"/>
        </w:rPr>
        <w:t>122</w:t>
      </w:r>
      <w:r>
        <w:rPr>
          <w:rFonts w:ascii="Times New Roman" w:hAnsi="Times New Roman" w:eastAsia="方正仿宋_GBK" w:cs="Times New Roman"/>
          <w:szCs w:val="32"/>
        </w:rPr>
        <w:t>家区级企业环境信用评价结果予以公告。</w:t>
      </w:r>
    </w:p>
    <w:p>
      <w:pPr>
        <w:autoSpaceDE w:val="0"/>
        <w:autoSpaceDN w:val="0"/>
        <w:adjustRightInd w:val="0"/>
        <w:spacing w:line="579" w:lineRule="exact"/>
        <w:rPr>
          <w:rFonts w:ascii="Times New Roman" w:hAnsi="Times New Roman" w:eastAsia="方正仿宋_GBK" w:cs="Times New Roman"/>
          <w:snapToGrid w:val="0"/>
          <w:kern w:val="0"/>
          <w:szCs w:val="32"/>
        </w:rPr>
      </w:pPr>
    </w:p>
    <w:p>
      <w:pPr>
        <w:autoSpaceDE w:val="0"/>
        <w:autoSpaceDN w:val="0"/>
        <w:adjustRightInd w:val="0"/>
        <w:spacing w:line="579" w:lineRule="exact"/>
        <w:ind w:firstLine="632" w:firstLineChars="200"/>
        <w:rPr>
          <w:rFonts w:ascii="Times New Roman" w:hAnsi="Times New Roman" w:eastAsia="方正仿宋_GBK" w:cs="Times New Roman"/>
          <w:snapToGrid w:val="0"/>
          <w:kern w:val="0"/>
          <w:szCs w:val="32"/>
        </w:rPr>
      </w:pPr>
      <w:r>
        <w:rPr>
          <w:rFonts w:ascii="Times New Roman" w:hAnsi="Times New Roman" w:eastAsia="方正仿宋_GBK" w:cs="Times New Roman"/>
          <w:snapToGrid w:val="0"/>
          <w:kern w:val="0"/>
          <w:szCs w:val="32"/>
        </w:rPr>
        <w:t>附件：重庆市</w:t>
      </w:r>
      <w:r>
        <w:rPr>
          <w:rFonts w:hint="eastAsia" w:ascii="Times New Roman" w:hAnsi="Times New Roman" w:eastAsia="方正仿宋_GBK" w:cs="Times New Roman"/>
          <w:snapToGrid w:val="0"/>
          <w:kern w:val="0"/>
          <w:szCs w:val="32"/>
        </w:rPr>
        <w:t>涪陵区2025年度区级</w:t>
      </w:r>
      <w:r>
        <w:rPr>
          <w:rFonts w:ascii="Times New Roman" w:hAnsi="Times New Roman" w:eastAsia="方正仿宋_GBK" w:cs="Times New Roman"/>
          <w:snapToGrid w:val="0"/>
          <w:kern w:val="0"/>
          <w:szCs w:val="32"/>
        </w:rPr>
        <w:t>企业环境信用评价结果</w:t>
      </w:r>
    </w:p>
    <w:p>
      <w:pPr>
        <w:tabs>
          <w:tab w:val="left" w:pos="8222"/>
        </w:tabs>
        <w:spacing w:line="579" w:lineRule="exact"/>
        <w:ind w:firstLine="632" w:firstLineChars="200"/>
        <w:rPr>
          <w:rFonts w:hint="eastAsia" w:ascii="Times New Roman" w:hAnsi="Times New Roman" w:eastAsia="方正仿宋_GBK" w:cs="Times New Roman"/>
          <w:szCs w:val="32"/>
        </w:rPr>
      </w:pPr>
    </w:p>
    <w:p>
      <w:pPr>
        <w:pStyle w:val="2"/>
        <w:ind w:left="632"/>
        <w:rPr>
          <w:rFonts w:ascii="Times New Roman" w:hAnsi="Times New Roman"/>
        </w:rPr>
      </w:pPr>
    </w:p>
    <w:p>
      <w:pPr>
        <w:spacing w:line="579" w:lineRule="exact"/>
        <w:ind w:firstLine="4567" w:firstLineChars="1445"/>
        <w:rPr>
          <w:rFonts w:ascii="Times New Roman" w:hAnsi="Times New Roman" w:eastAsia="方正仿宋_GBK" w:cs="Times New Roman"/>
          <w:szCs w:val="32"/>
        </w:rPr>
      </w:pPr>
      <w:r>
        <w:rPr>
          <w:rFonts w:ascii="Times New Roman" w:hAnsi="Times New Roman" w:eastAsia="方正仿宋_GBK" w:cs="Times New Roman"/>
          <w:szCs w:val="32"/>
        </w:rPr>
        <w:t>重庆市</w:t>
      </w:r>
      <w:r>
        <w:rPr>
          <w:rFonts w:hint="eastAsia" w:ascii="Times New Roman" w:hAnsi="Times New Roman" w:eastAsia="方正仿宋_GBK" w:cs="Times New Roman"/>
          <w:szCs w:val="32"/>
        </w:rPr>
        <w:t>涪陵区</w:t>
      </w:r>
      <w:r>
        <w:rPr>
          <w:rFonts w:ascii="Times New Roman" w:hAnsi="Times New Roman" w:eastAsia="方正仿宋_GBK" w:cs="Times New Roman"/>
          <w:szCs w:val="32"/>
        </w:rPr>
        <w:t>生态环境局</w:t>
      </w:r>
    </w:p>
    <w:p>
      <w:pPr>
        <w:spacing w:line="579" w:lineRule="exact"/>
        <w:ind w:firstLine="5110" w:firstLineChars="1617"/>
        <w:rPr>
          <w:rFonts w:ascii="Times New Roman" w:hAnsi="Times New Roman" w:eastAsia="方正仿宋_GBK" w:cs="Times New Roman"/>
          <w:szCs w:val="32"/>
        </w:rPr>
      </w:pPr>
      <w:r>
        <w:rPr>
          <w:rFonts w:ascii="Times New Roman" w:hAnsi="Times New Roman" w:eastAsia="方正仿宋_GBK" w:cs="Times New Roman"/>
          <w:szCs w:val="32"/>
        </w:rPr>
        <w:t>202</w:t>
      </w:r>
      <w:r>
        <w:rPr>
          <w:rFonts w:hint="eastAsia" w:ascii="Times New Roman" w:hAnsi="Times New Roman" w:eastAsia="方正仿宋_GBK" w:cs="Times New Roman"/>
          <w:szCs w:val="32"/>
        </w:rPr>
        <w:t>6</w:t>
      </w:r>
      <w:r>
        <w:rPr>
          <w:rFonts w:ascii="Times New Roman" w:hAnsi="Times New Roman" w:eastAsia="方正仿宋_GBK" w:cs="Times New Roman"/>
          <w:szCs w:val="32"/>
        </w:rPr>
        <w:t>年</w:t>
      </w:r>
      <w:r>
        <w:rPr>
          <w:rFonts w:hint="eastAsia" w:ascii="Times New Roman" w:hAnsi="Times New Roman" w:eastAsia="方正仿宋_GBK" w:cs="Times New Roman"/>
          <w:szCs w:val="32"/>
        </w:rPr>
        <w:t>9</w:t>
      </w:r>
      <w:r>
        <w:rPr>
          <w:rFonts w:ascii="Times New Roman" w:hAnsi="Times New Roman" w:eastAsia="方正仿宋_GBK" w:cs="Times New Roman"/>
          <w:szCs w:val="32"/>
        </w:rPr>
        <w:t>月</w:t>
      </w:r>
      <w:r>
        <w:rPr>
          <w:rFonts w:hint="eastAsia" w:ascii="Times New Roman" w:hAnsi="Times New Roman" w:eastAsia="方正仿宋_GBK" w:cs="Times New Roman"/>
          <w:szCs w:val="32"/>
        </w:rPr>
        <w:t>18</w:t>
      </w:r>
      <w:r>
        <w:rPr>
          <w:rFonts w:ascii="Times New Roman" w:hAnsi="Times New Roman" w:eastAsia="方正仿宋_GBK" w:cs="Times New Roman"/>
          <w:szCs w:val="32"/>
        </w:rPr>
        <w:t>日</w:t>
      </w:r>
    </w:p>
    <w:p>
      <w:pPr>
        <w:spacing w:line="579" w:lineRule="exact"/>
        <w:ind w:firstLine="632" w:firstLineChars="200"/>
        <w:rPr>
          <w:rFonts w:hint="eastAsia" w:ascii="Times New Roman" w:hAnsi="Times New Roman" w:eastAsia="方正仿宋_GBK" w:cs="宋体"/>
          <w:szCs w:val="32"/>
        </w:rPr>
      </w:pPr>
      <w:r>
        <w:rPr>
          <w:rFonts w:hint="eastAsia" w:ascii="Times New Roman" w:hAnsi="Times New Roman" w:eastAsia="方正仿宋_GBK" w:cs="宋体"/>
          <w:szCs w:val="32"/>
        </w:rPr>
        <w:t>（此件公开发布）</w:t>
      </w:r>
    </w:p>
    <w:p>
      <w:pPr>
        <w:spacing w:line="579" w:lineRule="exact"/>
        <w:rPr>
          <w:rFonts w:hint="eastAsia" w:ascii="Times New Roman" w:hAnsi="Times New Roman" w:eastAsia="方正黑体_GBK" w:cs="Times New Roman"/>
          <w:snapToGrid w:val="0"/>
          <w:color w:val="000000"/>
          <w:kern w:val="0"/>
          <w:szCs w:val="32"/>
        </w:rPr>
      </w:pPr>
      <w:r>
        <w:rPr>
          <w:rFonts w:ascii="Times New Roman" w:hAnsi="Times New Roman" w:eastAsia="方正黑体_GBK" w:cs="Times New Roman"/>
          <w:snapToGrid w:val="0"/>
          <w:color w:val="000000"/>
          <w:kern w:val="0"/>
          <w:szCs w:val="32"/>
        </w:rPr>
        <w:t>附件</w:t>
      </w:r>
    </w:p>
    <w:p>
      <w:pPr>
        <w:pStyle w:val="2"/>
        <w:spacing w:after="0" w:line="240" w:lineRule="exact"/>
        <w:ind w:left="632"/>
        <w:rPr>
          <w:rFonts w:hint="eastAsia" w:ascii="Times New Roman" w:hAnsi="Times New Roman"/>
        </w:rPr>
      </w:pPr>
    </w:p>
    <w:p>
      <w:pPr>
        <w:spacing w:line="579" w:lineRule="exact"/>
        <w:jc w:val="center"/>
        <w:rPr>
          <w:rFonts w:ascii="Times New Roman" w:hAnsi="Times New Roman" w:eastAsia="方正小标宋_GBK" w:cs="Times New Roman"/>
          <w:snapToGrid w:val="0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_GBK" w:cs="Times New Roman"/>
          <w:snapToGrid w:val="0"/>
          <w:color w:val="000000"/>
          <w:kern w:val="0"/>
          <w:sz w:val="44"/>
          <w:szCs w:val="44"/>
        </w:rPr>
        <w:t>重庆市</w:t>
      </w:r>
      <w:r>
        <w:rPr>
          <w:rFonts w:hint="eastAsia" w:ascii="Times New Roman" w:hAnsi="Times New Roman" w:eastAsia="方正小标宋_GBK" w:cs="Times New Roman"/>
          <w:snapToGrid w:val="0"/>
          <w:color w:val="000000"/>
          <w:kern w:val="0"/>
          <w:sz w:val="44"/>
          <w:szCs w:val="44"/>
        </w:rPr>
        <w:t>涪陵区</w:t>
      </w:r>
      <w:r>
        <w:rPr>
          <w:rFonts w:ascii="Times New Roman" w:hAnsi="Times New Roman" w:eastAsia="方正小标宋_GBK" w:cs="Times New Roman"/>
          <w:snapToGrid w:val="0"/>
          <w:color w:val="000000"/>
          <w:kern w:val="0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napToGrid w:val="0"/>
          <w:color w:val="000000"/>
          <w:kern w:val="0"/>
          <w:sz w:val="44"/>
          <w:szCs w:val="44"/>
        </w:rPr>
        <w:t>5</w:t>
      </w:r>
      <w:bookmarkStart w:id="0" w:name="_GoBack"/>
      <w:bookmarkEnd w:id="0"/>
      <w:r>
        <w:rPr>
          <w:rFonts w:ascii="Times New Roman" w:hAnsi="Times New Roman" w:eastAsia="方正小标宋_GBK" w:cs="Times New Roman"/>
          <w:snapToGrid w:val="0"/>
          <w:color w:val="000000"/>
          <w:kern w:val="0"/>
          <w:sz w:val="44"/>
          <w:szCs w:val="44"/>
        </w:rPr>
        <w:t>年度区级企业环境</w:t>
      </w:r>
    </w:p>
    <w:p>
      <w:pPr>
        <w:widowControl/>
        <w:snapToGrid w:val="0"/>
        <w:jc w:val="center"/>
        <w:rPr>
          <w:rFonts w:hint="eastAsia" w:ascii="Times New Roman" w:hAnsi="Times New Roman" w:eastAsia="方正小标宋_GBK" w:cs="Times New Roman"/>
          <w:snapToGrid w:val="0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_GBK" w:cs="Times New Roman"/>
          <w:snapToGrid w:val="0"/>
          <w:color w:val="000000"/>
          <w:kern w:val="0"/>
          <w:sz w:val="44"/>
          <w:szCs w:val="44"/>
        </w:rPr>
        <w:t>信用评价结果</w:t>
      </w:r>
    </w:p>
    <w:p>
      <w:pPr>
        <w:pStyle w:val="2"/>
        <w:spacing w:after="0" w:line="240" w:lineRule="exact"/>
        <w:ind w:left="632"/>
      </w:pPr>
    </w:p>
    <w:tbl>
      <w:tblPr>
        <w:tblStyle w:val="10"/>
        <w:tblW w:w="518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5750"/>
        <w:gridCol w:w="1855"/>
        <w:gridCol w:w="9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tblHeader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kern w:val="0"/>
                <w:sz w:val="24"/>
              </w:rPr>
              <w:t>企业名称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kern w:val="0"/>
                <w:sz w:val="24"/>
              </w:rPr>
              <w:t>初评等级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4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kern w:val="0"/>
                <w:sz w:val="24"/>
              </w:rPr>
              <w:t>一、环保诚信企业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Times New Roman" w:hAnsi="Times New Roman" w:eastAsia="方正黑体_GBK" w:cs="Times New Roman"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重庆中石化通汇能源有限公司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国家管网集团重庆天然气管道有限责任公司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中化重庆涪陵化工有限公司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  <w:t>(</w:t>
            </w: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磷石膏库渗滤液处理站）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葵花药业集团重庆小葵花儿童制药有限公司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太极集团重庆涪陵制药厂有限公司龙桥生产区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太极集团重庆涪陵制药厂有限公司石谷溪厂区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重庆宏声纸箱有限责任公司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道道全重庆粮油有限责任公司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重庆中烟工业有限责任公司涪陵卷烟厂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重庆科宝电缆股份有限公司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自愿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参评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11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重庆涪通物流有限公司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12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中粮油脂（重庆）有限公司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13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重庆涪陵海螺建材有限公司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14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重庆市豪洋水务建设管理有限公司涪陵污水处理厂（白涛污水处理厂）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15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重庆市豪洋水务建设管理有限公司涪陵污水处理厂（李渡污水处理厂）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重庆市豪洋水务建设管理有限公司涪陵污水处理厂（南沱污水处理厂）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17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重庆市豪洋水务建设管理有限公司涪陵污水处理厂（清溪污水处理厂）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18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重庆南涪铝业有限公司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19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重庆华峰化学有限公司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环保诚信企业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4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kern w:val="0"/>
                <w:sz w:val="24"/>
              </w:rPr>
              <w:t>二、环保良好企业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重庆市赛特刚玉有限公司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中国石油天然气股份有限公司重庆仓储分公司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黄桷嘴油库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中国石化销售股份有限公司重庆涪陵石油分公司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沙溪沟油库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重庆天润能源开发有限公司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重庆宏图新材料科技有限公司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重庆特固建材有限公司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  <w:t>(</w:t>
            </w: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大顺镇污水处理厂）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  <w:t>(</w:t>
            </w: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龙潭镇污水处理厂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  <w:t>)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龙禹天然气有限公司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重庆大义能源有限公司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11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重庆神鹏物流有限公司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12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重庆中邦药业（集团）有限公司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13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重庆四合燃气有限公司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14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重庆市涪陵区自来水有限公司白鹤水厂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15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涪陵区龙桥长乐砖厂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重庆市涪陵区大业建材有限公司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17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重庆市涪陵区吉祥液化气有限公司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18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重庆市涪陵区聚云食品有限公司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19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重庆市涪陵区全春建材有限责任公司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重庆黄花园食品有限公司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（大木乡污水处理厂）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22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（焦石镇污水处理厂）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23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（罗云镇污水处理厂）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24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（马武镇污水处理厂）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25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（青羊镇污水处理厂）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26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（石沱镇团结污水处理厂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  <w:t>)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27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重庆耀铂建材有限公司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28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  <w:t>(</w:t>
            </w: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涪陵区增福镇污水处理厂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  <w:t>)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29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重庆市宇洁化工有限公司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30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重庆三峡笋业有限责任公司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31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重庆市华钢耐磨材料有限责任公司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32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玻芯成（重庆）半导体科技有限公司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33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重庆蒿枝钡机动车检测有限公司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34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重庆理想包装有限责任公司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35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重庆喜旋生物科技有限公司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36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重庆市涪陵区金星水泥有限公司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37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重庆市望仙酒业有限公司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38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（义和街道污水处理厂）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39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（珍溪镇污水处理厂）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40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重庆市涪陵区自来水有限公司二水厂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41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重庆佰石源建材有限公司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42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重庆远飏建材有限公司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43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重庆市蓬威石化有限责任公司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涪陵铁公水联运作业区码头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44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重庆龙头港物流发展有限公司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（原重庆市涪陵兴港港务物流有限公司）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45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重庆一德粮油有限公司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46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重庆耀鑫包装制品有限公司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47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重庆冉龙建材有限公司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48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重庆市百芳露酒业有限公司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49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（江北街道污水处理厂）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50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涪陵区拓源污水治理有限公司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（新妙镇污水处理厂）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51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  <w:t>(</w:t>
            </w: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百胜镇污水处理厂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  <w:t>)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52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重庆御澜泽环保科技有限公司（涪陵）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53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重庆市同丰农业开发有限公司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54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聚豪食品（重庆）有限公司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55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重庆瑞轩新型建材有限公司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56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重庆涵天包装印务有限公司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57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重庆巨帮顺凯机动车检测有限公司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58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重庆吉业能源科技有限公司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59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Style w:val="15"/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重庆祥龙天然气有限公司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60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重庆龙冉能源科技有限公司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61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重庆市涪陵区涪丰食品加工厂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62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重庆市涪陵区雅哥包装机械有限公司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63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重庆市科创印务有限公司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64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重庆市槿鸿矿业有限公司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65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重庆紫金花门业有限公司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66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中国石化销售股份有限公司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重庆涪陵石油分公司李渡玉屏加油加气站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67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重庆新联峰实业有限公司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68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  <w:t>(</w:t>
            </w: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同乐镇污水处理厂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  <w:t>)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69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（蔺市街道污水处理厂）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70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（武陵山乡污水处理厂）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71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重庆市松泽环保科技有限公司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自愿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参评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72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重庆江润矿业有限公司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73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重庆市涪陵区桂滋酱油厂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74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重庆南瑚铝制品有限公司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75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重庆市科尔科克新材料有限公司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环保良好企业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4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kern w:val="0"/>
                <w:sz w:val="24"/>
              </w:rPr>
              <w:t>三、环保警示企业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重庆玉山建材有限公司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环保警示企业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重庆合利机动车检测有限公司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环保警示企业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重庆市涪陵区健源米业有限公司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环保警示企业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重庆众享益商贸有限公司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环保警示企业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kern w:val="0"/>
                <w:sz w:val="24"/>
              </w:rPr>
              <w:t>四、环保不良企业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重庆博士德塑业（集团）有限公司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环保不良企业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一票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否决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重庆久滕包装材料有限公司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环保不良企业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一票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否决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重庆磊材矿业有限公司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环保不良企业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一票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否决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福建酷顺建筑工程有限公司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环保不良企业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逾期未填报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重庆市正宇混凝土有限责任公司采石场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环保不良企业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逾期未填报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重庆三蛟建材有限公司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环保不良企业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逾期未填报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涪陵区石泉岚马酒厂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环保不良企业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逾期未填报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重庆市涪渝祥建材有限公司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环保不良企业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逾期未填报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4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kern w:val="0"/>
                <w:sz w:val="24"/>
              </w:rPr>
              <w:t>五、不参评企业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重庆市涪陵区星耀石材加工有限公司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连续停产半年及以上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重庆白涛燃机热电有限公司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连续停产半年及以上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重庆市涪陵区拓源环境治理有限公司第一分公司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连续停产半年及以上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重庆渝浙酒业有限公司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连续停产半年及以上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太极集团重庆涪陵制药厂有限公司</w:t>
            </w:r>
          </w:p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（太极医药城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  <w:t>A</w:t>
            </w: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区）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连续停产半年及以上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重庆市涪陵区民谐中药材股份合作社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连续停产半年及以上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重庆石从建材有限公司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连续停产半年及以上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重庆市睿拓建材有限公司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连续停产半年及以上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重庆鼎松建材有限公司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连续停产半年及以上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涪陵天然食品有限责任公司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连续停产半年及以上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11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赛特矿产品（重庆）有限公司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连续停产半年及以上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12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重庆市星泉春酒业有限责任公司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连续停产半年及以上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13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重庆东庆铝业有限公司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市级参评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14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华峰铝业有限公司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市级参评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15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重庆市涪陵区华远节能建材有限公司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市级参评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3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龙禹天然气有限公司磨盘沟加气站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方正仿宋_GBK" w:eastAsia="方正仿宋_GBK" w:cs="方正仿宋_GBK"/>
                <w:color w:val="000000"/>
                <w:kern w:val="0"/>
                <w:sz w:val="24"/>
              </w:rPr>
              <w:t>重复企业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</w:tbl>
    <w:p>
      <w:pPr>
        <w:pStyle w:val="2"/>
        <w:ind w:left="632"/>
        <w:rPr>
          <w:rFonts w:hint="eastAsia" w:ascii="Times New Roman" w:hAnsi="Times New Roman"/>
        </w:rPr>
      </w:pPr>
    </w:p>
    <w:p>
      <w:pPr>
        <w:pBdr>
          <w:top w:val="none" w:color="auto" w:sz="0" w:space="1"/>
          <w:left w:val="none" w:color="auto" w:sz="0" w:space="0"/>
          <w:bottom w:val="none" w:color="auto" w:sz="0" w:space="1"/>
          <w:right w:val="none" w:color="auto" w:sz="0" w:space="0"/>
          <w:between w:val="none" w:color="auto" w:sz="0" w:space="0"/>
        </w:pBdr>
        <w:ind w:firstLine="316" w:firstLineChars="100"/>
        <w:rPr>
          <w:rFonts w:hint="eastAsia" w:ascii="Times New Roman" w:hAnsi="Times New Roman" w:eastAsia="方正仿宋_GBK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588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altName w:val="Times New Roma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ourier New">
    <w:altName w:val="DejaVu Sans"/>
    <w:panose1 w:val="02070309020205020404"/>
    <w:charset w:val="00"/>
    <w:family w:val="modern"/>
    <w:pitch w:val="default"/>
    <w:sig w:usb0="00000000" w:usb1="00000000" w:usb2="00000009" w:usb3="00000000" w:csb0="000001F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outside" w:y="1"/>
      <w:ind w:left="320" w:leftChars="100" w:right="320" w:rightChars="100"/>
      <w:jc w:val="right"/>
      <w:rPr>
        <w:rFonts w:ascii="方正仿宋_GBK"/>
        <w:szCs w:val="28"/>
      </w:rPr>
    </w:pPr>
    <w:r>
      <w:rPr>
        <w:rStyle w:val="13"/>
        <w:rFonts w:hint="eastAsia" w:ascii="方正仿宋_GBK"/>
        <w:sz w:val="28"/>
      </w:rPr>
      <w:t xml:space="preserve">― </w:t>
    </w:r>
    <w:r>
      <w:rPr>
        <w:rFonts w:ascii="Times New Roman" w:hAnsi="Times New Roman"/>
        <w:kern w:val="0"/>
        <w:sz w:val="28"/>
      </w:rPr>
      <w:fldChar w:fldCharType="begin"/>
    </w:r>
    <w:r>
      <w:rPr>
        <w:rFonts w:ascii="Times New Roman" w:hAnsi="Times New Roman"/>
        <w:kern w:val="0"/>
        <w:sz w:val="28"/>
      </w:rPr>
      <w:instrText xml:space="preserve"> PAGE </w:instrText>
    </w:r>
    <w:r>
      <w:rPr>
        <w:rFonts w:ascii="Times New Roman" w:hAnsi="Times New Roman"/>
        <w:kern w:val="0"/>
        <w:sz w:val="28"/>
      </w:rPr>
      <w:fldChar w:fldCharType="separate"/>
    </w:r>
    <w:r>
      <w:rPr>
        <w:rFonts w:ascii="Times New Roman" w:hAnsi="Times New Roman"/>
        <w:kern w:val="0"/>
        <w:sz w:val="28"/>
      </w:rPr>
      <w:t>3</w:t>
    </w:r>
    <w:r>
      <w:rPr>
        <w:rFonts w:ascii="Times New Roman" w:hAnsi="Times New Roman"/>
        <w:kern w:val="0"/>
        <w:sz w:val="28"/>
      </w:rPr>
      <w:fldChar w:fldCharType="end"/>
    </w:r>
    <w:r>
      <w:rPr>
        <w:rFonts w:hint="eastAsia" w:ascii="方正仿宋_GBK"/>
        <w:kern w:val="0"/>
        <w:sz w:val="28"/>
      </w:rPr>
      <w:t xml:space="preserve"> </w:t>
    </w:r>
    <w:r>
      <w:rPr>
        <w:rStyle w:val="13"/>
        <w:rFonts w:hint="eastAsia" w:ascii="方正仿宋_GBK"/>
        <w:sz w:val="28"/>
      </w:rPr>
      <w:t>―</w:t>
    </w:r>
  </w:p>
  <w:p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outside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>
    <w:pPr>
      <w:pStyle w:val="7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HorizontalSpacing w:val="158"/>
  <w:drawingGridVerticalSpacing w:val="579"/>
  <w:displayHorizont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U2MmU5ZjMxMGE0M2ViMTA4M2NmMmEwOTMzYTU3OGEifQ=="/>
    <w:docVar w:name="KSO_WPS_MARK_KEY" w:val="073fb626-2d6b-4d7c-bb74-6c9e371d415d"/>
  </w:docVars>
  <w:rsids>
    <w:rsidRoot w:val="00172A27"/>
    <w:rsid w:val="00172A27"/>
    <w:rsid w:val="002A6711"/>
    <w:rsid w:val="003B550E"/>
    <w:rsid w:val="00A931C2"/>
    <w:rsid w:val="02F8266E"/>
    <w:rsid w:val="03212EF8"/>
    <w:rsid w:val="0510745B"/>
    <w:rsid w:val="0C941C29"/>
    <w:rsid w:val="0E373935"/>
    <w:rsid w:val="10EA7D76"/>
    <w:rsid w:val="13224533"/>
    <w:rsid w:val="14C954ED"/>
    <w:rsid w:val="15F13F5C"/>
    <w:rsid w:val="16635DA7"/>
    <w:rsid w:val="17F6052F"/>
    <w:rsid w:val="21BE719F"/>
    <w:rsid w:val="22D56901"/>
    <w:rsid w:val="2A4A74E5"/>
    <w:rsid w:val="2AE632C3"/>
    <w:rsid w:val="2C10159C"/>
    <w:rsid w:val="34E138A4"/>
    <w:rsid w:val="391727E9"/>
    <w:rsid w:val="396007F3"/>
    <w:rsid w:val="3C9C5475"/>
    <w:rsid w:val="43453039"/>
    <w:rsid w:val="45997458"/>
    <w:rsid w:val="46333A94"/>
    <w:rsid w:val="471F398D"/>
    <w:rsid w:val="487524B2"/>
    <w:rsid w:val="4B0820E8"/>
    <w:rsid w:val="581F5B11"/>
    <w:rsid w:val="60E91A8E"/>
    <w:rsid w:val="669962AE"/>
    <w:rsid w:val="6B3B04E6"/>
    <w:rsid w:val="6E51692D"/>
    <w:rsid w:val="70550C5B"/>
    <w:rsid w:val="73C351CC"/>
    <w:rsid w:val="73F5E4BF"/>
    <w:rsid w:val="78F937B3"/>
    <w:rsid w:val="79D23D23"/>
    <w:rsid w:val="7BED4F0F"/>
    <w:rsid w:val="7CBA22F3"/>
    <w:rsid w:val="7DC63B7E"/>
    <w:rsid w:val="7E7D9C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outlineLvl w:val="1"/>
    </w:pPr>
    <w:rPr>
      <w:rFonts w:eastAsia="微软雅黑"/>
      <w:szCs w:val="32"/>
    </w:rPr>
  </w:style>
  <w:style w:type="paragraph" w:styleId="5">
    <w:name w:val="heading 4"/>
    <w:basedOn w:val="4"/>
    <w:next w:val="1"/>
    <w:unhideWhenUsed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spacing w:after="120"/>
      <w:ind w:left="420" w:leftChars="200" w:firstLine="420"/>
    </w:pPr>
    <w:rPr>
      <w:sz w:val="21"/>
    </w:rPr>
  </w:style>
  <w:style w:type="paragraph" w:styleId="3">
    <w:name w:val="Body Text Indent"/>
    <w:basedOn w:val="1"/>
    <w:qFormat/>
    <w:uiPriority w:val="0"/>
    <w:pPr>
      <w:ind w:firstLine="626"/>
    </w:pPr>
    <w:rPr>
      <w:rFonts w:ascii="仿宋_GB2312" w:eastAsia="仿宋_GB2312"/>
      <w:bCs/>
    </w:r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itle"/>
    <w:basedOn w:val="1"/>
    <w:qFormat/>
    <w:uiPriority w:val="0"/>
    <w:pPr>
      <w:jc w:val="center"/>
      <w:outlineLvl w:val="0"/>
    </w:pPr>
    <w:rPr>
      <w:rFonts w:ascii="Arial" w:hAnsi="Arial"/>
      <w:b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qFormat/>
    <w:uiPriority w:val="0"/>
  </w:style>
  <w:style w:type="paragraph" w:customStyle="1" w:styleId="14">
    <w:name w:val="题目"/>
    <w:basedOn w:val="9"/>
    <w:next w:val="6"/>
    <w:qFormat/>
    <w:uiPriority w:val="0"/>
    <w:rPr>
      <w:rFonts w:hint="eastAsia" w:ascii="宋体" w:hAnsi="宋体" w:eastAsia="宋体" w:cs="宋体"/>
      <w:sz w:val="44"/>
      <w:szCs w:val="28"/>
    </w:rPr>
  </w:style>
  <w:style w:type="character" w:customStyle="1" w:styleId="15">
    <w:name w:val="font21"/>
    <w:basedOn w:val="12"/>
    <w:qFormat/>
    <w:uiPriority w:val="0"/>
    <w:rPr>
      <w:rFonts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16">
    <w:name w:val="font11"/>
    <w:basedOn w:val="12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7">
    <w:name w:val="font4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3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页眉 Char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脚 Char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Corp.</Company>
  <Pages>10</Pages>
  <Words>3257</Words>
  <Characters>848</Characters>
  <Lines>7</Lines>
  <Paragraphs>8</Paragraphs>
  <TotalTime>1</TotalTime>
  <ScaleCrop>false</ScaleCrop>
  <LinksUpToDate>false</LinksUpToDate>
  <CharactersWithSpaces>4097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2022-11-14T10:45:00Z</dcterms:created>
  <dc:creator>whale J</dc:creator>
  <cp:lastModifiedBy>苏娟</cp:lastModifiedBy>
  <cp:lastPrinted>2026-09-18T23:14:00Z</cp:lastPrinted>
  <dcterms:modified xsi:type="dcterms:W3CDTF">2026-10-08T16:59:30Z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5E0BD95F7C4F4DA6BC735D43BB3B8928_13</vt:lpwstr>
  </property>
  <property fmtid="{D5CDD505-2E9C-101B-9397-08002B2CF9AE}" pid="4" name="KSOTemplateDocerSaveRecord">
    <vt:lpwstr>eyJoZGlkIjoiYzc1MzcxMWEwYWJlN2YyNTY1ZjU5ZDE3YTAxNDU4ZGQiLCJ1c2VySWQiOiIxNDM2OTgyMTk4In0=</vt:lpwstr>
  </property>
</Properties>
</file>