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0" w:beforeAutospacing="0" w:after="0" w:afterAutospacing="0" w:line="600" w:lineRule="exact"/>
        <w:jc w:val="center"/>
        <w:rPr>
          <w:rFonts w:hint="default"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t>重庆市涪陵区生态环境监测站</w:t>
      </w:r>
    </w:p>
    <w:p>
      <w:pPr>
        <w:pStyle w:val="6"/>
        <w:spacing w:before="0" w:beforeAutospacing="0" w:after="0" w:afterAutospacing="0" w:line="600" w:lineRule="exact"/>
        <w:jc w:val="center"/>
        <w:rPr>
          <w:rFonts w:hint="default"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t>2024年度决算公开说明</w:t>
      </w:r>
    </w:p>
    <w:p>
      <w:pPr>
        <w:pStyle w:val="6"/>
        <w:widowControl w:val="0"/>
        <w:shd w:val="clear" w:color="auto" w:fill="FFFFFF"/>
        <w:spacing w:before="0" w:beforeAutospacing="0" w:after="0" w:afterAutospacing="0" w:line="579" w:lineRule="exact"/>
        <w:jc w:val="both"/>
        <w:rPr>
          <w:rStyle w:val="10"/>
          <w:rFonts w:hint="default" w:ascii="方正黑体_GBK" w:hAnsi="黑体" w:eastAsia="方正黑体_GBK" w:cs="黑体"/>
          <w:b w:val="0"/>
          <w:sz w:val="32"/>
          <w:szCs w:val="32"/>
          <w:shd w:val="clear" w:color="auto" w:fill="FFFFFF"/>
        </w:rPr>
      </w:pPr>
    </w:p>
    <w:p>
      <w:pPr>
        <w:pStyle w:val="6"/>
        <w:widowControl w:val="0"/>
        <w:shd w:val="clear" w:color="auto" w:fill="FFFFFF"/>
        <w:spacing w:before="0" w:beforeAutospacing="0" w:after="0" w:afterAutospacing="0" w:line="579" w:lineRule="exact"/>
        <w:jc w:val="both"/>
        <w:rPr>
          <w:rStyle w:val="10"/>
          <w:rFonts w:hint="default" w:ascii="方正黑体_GBK" w:eastAsia="方正黑体_GBK"/>
          <w:shd w:val="clear" w:color="auto" w:fill="FFFFFF"/>
        </w:rPr>
      </w:pPr>
      <w:r>
        <w:rPr>
          <w:rStyle w:val="10"/>
          <w:rFonts w:ascii="方正黑体_GBK" w:hAnsi="黑体" w:eastAsia="方正黑体_GBK" w:cs="黑体"/>
          <w:b w:val="0"/>
          <w:sz w:val="32"/>
          <w:szCs w:val="32"/>
          <w:shd w:val="clear" w:color="auto" w:fill="FFFFFF"/>
        </w:rPr>
        <w:t>一、单位基本情况</w:t>
      </w:r>
    </w:p>
    <w:p>
      <w:pPr>
        <w:pStyle w:val="6"/>
        <w:widowControl w:val="0"/>
        <w:shd w:val="clear" w:color="auto" w:fill="FFFFFF"/>
        <w:spacing w:before="0" w:beforeAutospacing="0" w:after="0" w:afterAutospacing="0" w:line="579" w:lineRule="exact"/>
        <w:ind w:firstLine="320" w:firstLineChars="100"/>
        <w:jc w:val="both"/>
        <w:rPr>
          <w:rFonts w:hint="default" w:ascii="方正楷体_GBK" w:hAnsi="微软雅黑" w:eastAsia="方正楷体_GBK" w:cs="微软雅黑"/>
          <w:color w:val="000000"/>
          <w:sz w:val="32"/>
          <w:szCs w:val="32"/>
        </w:rPr>
      </w:pPr>
      <w:r>
        <w:rPr>
          <w:rFonts w:ascii="方正楷体_GBK" w:hAnsi="微软雅黑" w:eastAsia="方正楷体_GBK" w:cs="微软雅黑"/>
          <w:color w:val="000000"/>
          <w:sz w:val="32"/>
          <w:szCs w:val="32"/>
        </w:rPr>
        <w:t>（一）职能职责</w:t>
      </w:r>
    </w:p>
    <w:p>
      <w:pPr>
        <w:pStyle w:val="6"/>
        <w:widowControl w:val="0"/>
        <w:shd w:val="clear" w:color="auto" w:fill="FFFFFF"/>
        <w:spacing w:before="0" w:beforeAutospacing="0" w:after="0" w:afterAutospacing="0" w:line="579" w:lineRule="exact"/>
        <w:ind w:firstLine="320" w:firstLineChars="100"/>
        <w:jc w:val="both"/>
        <w:rPr>
          <w:rStyle w:val="10"/>
          <w:rFonts w:hint="default" w:ascii="方正仿宋_GBK" w:hAnsi="黑体" w:eastAsia="方正仿宋_GBK" w:cs="黑体"/>
          <w:b w:val="0"/>
          <w:sz w:val="32"/>
          <w:szCs w:val="32"/>
          <w:shd w:val="clear" w:color="auto" w:fill="FFFFFF"/>
        </w:rPr>
      </w:pPr>
      <w:r>
        <w:rPr>
          <w:rStyle w:val="10"/>
          <w:rFonts w:ascii="方正仿宋_GBK" w:hAnsi="黑体" w:eastAsia="方正仿宋_GBK" w:cs="黑体"/>
          <w:b w:val="0"/>
          <w:sz w:val="32"/>
          <w:szCs w:val="32"/>
          <w:shd w:val="clear" w:color="auto" w:fill="FFFFFF"/>
        </w:rPr>
        <w:t>负责涪陵区区域内的环境执法监测、污染源监督性监测和突发环境事件应急监测；承担政府、环境保护部门委托的其他环境监测技术支持工作；开展环境监测领域科学研究，承担环境监测技术规范、方法研究；完成区生态环境局交办的其他工作。</w:t>
      </w:r>
    </w:p>
    <w:p>
      <w:pPr>
        <w:pStyle w:val="6"/>
        <w:widowControl w:val="0"/>
        <w:shd w:val="clear" w:color="auto" w:fill="FFFFFF"/>
        <w:spacing w:before="0" w:beforeAutospacing="0" w:after="0" w:afterAutospacing="0" w:line="579" w:lineRule="exact"/>
        <w:ind w:firstLine="320" w:firstLineChars="100"/>
        <w:jc w:val="both"/>
        <w:rPr>
          <w:rStyle w:val="10"/>
          <w:rFonts w:hint="default" w:ascii="方正楷体_GBK" w:hAnsi="黑体" w:eastAsia="方正楷体_GBK" w:cs="黑体"/>
          <w:shd w:val="clear" w:color="auto" w:fill="FFFFFF"/>
        </w:rPr>
      </w:pPr>
      <w:r>
        <w:rPr>
          <w:rStyle w:val="10"/>
          <w:rFonts w:ascii="方正楷体_GBK" w:hAnsi="黑体" w:eastAsia="方正楷体_GBK" w:cs="黑体"/>
          <w:b w:val="0"/>
          <w:sz w:val="32"/>
          <w:szCs w:val="32"/>
          <w:shd w:val="clear" w:color="auto" w:fill="FFFFFF"/>
        </w:rPr>
        <w:t>（二）机构设置</w:t>
      </w:r>
    </w:p>
    <w:p>
      <w:pPr>
        <w:pStyle w:val="6"/>
        <w:widowControl w:val="0"/>
        <w:shd w:val="clear" w:color="auto" w:fill="FFFFFF"/>
        <w:spacing w:before="0" w:beforeAutospacing="0" w:after="0" w:afterAutospacing="0" w:line="579" w:lineRule="exact"/>
        <w:ind w:firstLine="320" w:firstLineChars="100"/>
        <w:jc w:val="both"/>
        <w:rPr>
          <w:rStyle w:val="10"/>
          <w:rFonts w:hint="default" w:ascii="方正仿宋_GBK" w:hAnsi="黑体" w:eastAsia="方正仿宋_GBK" w:cs="黑体"/>
          <w:b w:val="0"/>
          <w:sz w:val="32"/>
          <w:szCs w:val="32"/>
          <w:shd w:val="clear" w:color="auto" w:fill="FFFFFF"/>
        </w:rPr>
      </w:pPr>
      <w:r>
        <w:rPr>
          <w:rStyle w:val="10"/>
          <w:rFonts w:ascii="方正仿宋_GBK" w:hAnsi="黑体" w:eastAsia="方正仿宋_GBK" w:cs="黑体"/>
          <w:b w:val="0"/>
          <w:sz w:val="32"/>
          <w:szCs w:val="32"/>
          <w:shd w:val="clear" w:color="auto" w:fill="FFFFFF"/>
        </w:rPr>
        <w:t xml:space="preserve">涪陵区生态环境监测站下设办公室、监测室、应急监测室、综合业务室、质控室。  </w:t>
      </w:r>
    </w:p>
    <w:p>
      <w:pPr>
        <w:pStyle w:val="6"/>
        <w:widowControl w:val="0"/>
        <w:shd w:val="clear" w:color="auto" w:fill="FFFFFF"/>
        <w:spacing w:before="0" w:beforeAutospacing="0" w:after="0" w:afterAutospacing="0" w:line="579" w:lineRule="exact"/>
        <w:jc w:val="both"/>
        <w:rPr>
          <w:rStyle w:val="10"/>
          <w:rFonts w:hint="default" w:ascii="方正黑体_GBK" w:hAnsi="黑体" w:eastAsia="方正黑体_GBK" w:cs="黑体"/>
          <w:b w:val="0"/>
          <w:sz w:val="32"/>
          <w:szCs w:val="32"/>
          <w:shd w:val="clear" w:color="auto" w:fill="FFFFFF"/>
        </w:rPr>
      </w:pPr>
      <w:r>
        <w:rPr>
          <w:rStyle w:val="10"/>
          <w:rFonts w:ascii="方正黑体_GBK" w:hAnsi="黑体" w:eastAsia="方正黑体_GBK" w:cs="黑体"/>
          <w:b w:val="0"/>
          <w:sz w:val="32"/>
          <w:szCs w:val="32"/>
          <w:shd w:val="clear" w:color="auto" w:fill="FFFFFF"/>
        </w:rPr>
        <w:t>二、单位决算情况说明</w:t>
      </w:r>
    </w:p>
    <w:p>
      <w:pPr>
        <w:pStyle w:val="6"/>
        <w:widowControl w:val="0"/>
        <w:shd w:val="clear" w:color="auto" w:fill="FFFFFF"/>
        <w:spacing w:before="0" w:beforeAutospacing="0" w:after="0" w:afterAutospacing="0" w:line="579" w:lineRule="exact"/>
        <w:jc w:val="both"/>
        <w:rPr>
          <w:rStyle w:val="10"/>
          <w:rFonts w:hint="default" w:ascii="方正楷体_GBK" w:hAnsi="黑体" w:eastAsia="方正楷体_GBK" w:cs="黑体"/>
          <w:b w:val="0"/>
          <w:sz w:val="32"/>
          <w:szCs w:val="32"/>
        </w:rPr>
      </w:pPr>
      <w:r>
        <w:rPr>
          <w:rStyle w:val="10"/>
          <w:rFonts w:ascii="方正楷体_GBK" w:hAnsi="黑体" w:eastAsia="方正楷体_GBK" w:cs="黑体"/>
          <w:b w:val="0"/>
          <w:sz w:val="32"/>
          <w:szCs w:val="32"/>
        </w:rPr>
        <w:t>（一）收入支出决算总体情况说明。</w:t>
      </w:r>
    </w:p>
    <w:p>
      <w:pPr>
        <w:pStyle w:val="6"/>
        <w:widowControl w:val="0"/>
        <w:shd w:val="clear" w:color="auto" w:fill="FFFFFF"/>
        <w:spacing w:before="0" w:beforeAutospacing="0" w:after="0" w:afterAutospacing="0" w:line="579" w:lineRule="exact"/>
        <w:ind w:firstLine="639" w:firstLineChars="199"/>
        <w:jc w:val="both"/>
        <w:rPr>
          <w:rStyle w:val="10"/>
          <w:rFonts w:hint="default" w:ascii="方正仿宋_GBK" w:hAnsi="黑体" w:eastAsia="方正仿宋_GBK" w:cs="黑体"/>
          <w:b w:val="0"/>
          <w:sz w:val="32"/>
          <w:szCs w:val="32"/>
          <w:shd w:val="clear" w:color="auto" w:fill="FFFFFF"/>
        </w:rPr>
      </w:pPr>
      <w:r>
        <w:rPr>
          <w:rStyle w:val="10"/>
          <w:rFonts w:ascii="方正仿宋_GBK" w:hAnsi="黑体" w:eastAsia="方正仿宋_GBK" w:cs="黑体"/>
          <w:sz w:val="32"/>
          <w:szCs w:val="32"/>
          <w:shd w:val="clear" w:color="auto" w:fill="FFFFFF"/>
        </w:rPr>
        <w:t>1.总体情况。</w:t>
      </w:r>
      <w:r>
        <w:rPr>
          <w:rStyle w:val="10"/>
          <w:rFonts w:ascii="方正仿宋_GBK" w:hAnsi="黑体" w:eastAsia="方正仿宋_GBK" w:cs="黑体"/>
          <w:b w:val="0"/>
          <w:sz w:val="32"/>
          <w:szCs w:val="32"/>
        </w:rPr>
        <w:t>2024年度收入总计2072.9万元，支出总计</w:t>
      </w:r>
      <w:r>
        <w:rPr>
          <w:rStyle w:val="10"/>
          <w:rFonts w:ascii="方正仿宋_GBK" w:hAnsi="黑体" w:eastAsia="方正仿宋_GBK" w:cs="黑体"/>
          <w:b w:val="0"/>
          <w:sz w:val="32"/>
          <w:szCs w:val="32"/>
          <w:shd w:val="clear" w:color="auto" w:fill="FFFFFF"/>
        </w:rPr>
        <w:t>2072.9</w:t>
      </w:r>
      <w:r>
        <w:rPr>
          <w:rStyle w:val="10"/>
          <w:rFonts w:ascii="方正仿宋_GBK" w:hAnsi="黑体" w:eastAsia="方正仿宋_GBK" w:cs="黑体"/>
          <w:b w:val="0"/>
          <w:sz w:val="32"/>
          <w:szCs w:val="32"/>
        </w:rPr>
        <w:t>万元。收支较上年决算数增加336.85万元，增加19.40%，主要原因是</w:t>
      </w:r>
      <w:r>
        <w:rPr>
          <w:rStyle w:val="10"/>
          <w:rFonts w:ascii="方正仿宋_GBK" w:hAnsi="黑体" w:eastAsia="方正仿宋_GBK" w:cs="黑体"/>
          <w:b w:val="0"/>
          <w:sz w:val="32"/>
          <w:szCs w:val="32"/>
          <w:shd w:val="clear" w:color="auto" w:fill="FFFFFF"/>
        </w:rPr>
        <w:t xml:space="preserve">增加了2023年“以奖促治”相关项目的结转资金。 </w:t>
      </w:r>
    </w:p>
    <w:p>
      <w:pPr>
        <w:pStyle w:val="6"/>
        <w:widowControl w:val="0"/>
        <w:shd w:val="clear" w:color="auto" w:fill="FFFFFF"/>
        <w:spacing w:before="0" w:beforeAutospacing="0" w:after="0" w:afterAutospacing="0" w:line="579" w:lineRule="exact"/>
        <w:ind w:firstLine="639" w:firstLineChars="199"/>
        <w:jc w:val="both"/>
        <w:rPr>
          <w:rFonts w:hint="default" w:ascii="方正仿宋_GBK" w:eastAsia="方正仿宋_GBK"/>
          <w:sz w:val="32"/>
          <w:szCs w:val="32"/>
        </w:rPr>
      </w:pPr>
      <w:r>
        <w:rPr>
          <w:rStyle w:val="10"/>
          <w:rFonts w:ascii="方正仿宋_GBK" w:hAnsi="黑体" w:eastAsia="方正仿宋_GBK" w:cs="黑体"/>
          <w:sz w:val="32"/>
          <w:szCs w:val="32"/>
          <w:shd w:val="clear" w:color="auto" w:fill="FFFFFF"/>
        </w:rPr>
        <w:t>2.收入情况。</w:t>
      </w:r>
      <w:r>
        <w:rPr>
          <w:rStyle w:val="10"/>
          <w:rFonts w:ascii="方正仿宋_GBK" w:hAnsi="黑体" w:eastAsia="方正仿宋_GBK" w:cs="黑体"/>
          <w:b w:val="0"/>
          <w:sz w:val="32"/>
          <w:szCs w:val="32"/>
        </w:rPr>
        <w:t>2024年度收入合计1750.65万元，较上年决算数增加189.12万元，增加12.11%，主要原因是</w:t>
      </w:r>
      <w:r>
        <w:rPr>
          <w:rStyle w:val="10"/>
          <w:rFonts w:ascii="方正仿宋_GBK" w:hAnsi="黑体" w:eastAsia="方正仿宋_GBK" w:cs="黑体"/>
          <w:b w:val="0"/>
          <w:sz w:val="32"/>
          <w:szCs w:val="32"/>
          <w:shd w:val="clear" w:color="auto" w:fill="FFFFFF"/>
        </w:rPr>
        <w:t xml:space="preserve">增加了其他收入的资金。 </w:t>
      </w:r>
      <w:r>
        <w:rPr>
          <w:rStyle w:val="10"/>
          <w:rFonts w:ascii="方正仿宋_GBK" w:hAnsi="黑体" w:eastAsia="方正仿宋_GBK" w:cs="黑体"/>
          <w:b w:val="0"/>
          <w:sz w:val="32"/>
          <w:szCs w:val="32"/>
        </w:rPr>
        <w:t>其中：财政拨款收入</w:t>
      </w:r>
      <w:r>
        <w:rPr>
          <w:rStyle w:val="10"/>
          <w:rFonts w:ascii="方正仿宋_GBK" w:hAnsi="黑体" w:eastAsia="方正仿宋_GBK" w:cs="黑体"/>
          <w:b w:val="0"/>
          <w:sz w:val="32"/>
          <w:szCs w:val="32"/>
          <w:shd w:val="clear" w:color="auto" w:fill="FFFFFF"/>
        </w:rPr>
        <w:t>833.07</w:t>
      </w:r>
      <w:r>
        <w:rPr>
          <w:rStyle w:val="10"/>
          <w:rFonts w:ascii="方正仿宋_GBK" w:hAnsi="黑体" w:eastAsia="方正仿宋_GBK" w:cs="黑体"/>
          <w:b w:val="0"/>
          <w:sz w:val="32"/>
          <w:szCs w:val="32"/>
        </w:rPr>
        <w:t>万元，占</w:t>
      </w:r>
      <w:r>
        <w:rPr>
          <w:rStyle w:val="10"/>
          <w:rFonts w:ascii="方正仿宋_GBK" w:hAnsi="黑体" w:eastAsia="方正仿宋_GBK" w:cs="黑体"/>
          <w:b w:val="0"/>
          <w:sz w:val="32"/>
          <w:szCs w:val="32"/>
          <w:shd w:val="clear" w:color="auto" w:fill="FFFFFF"/>
        </w:rPr>
        <w:t>47.59</w:t>
      </w:r>
      <w:r>
        <w:rPr>
          <w:rStyle w:val="10"/>
          <w:rFonts w:ascii="方正仿宋_GBK" w:hAnsi="黑体" w:eastAsia="方正仿宋_GBK" w:cs="黑体"/>
          <w:b w:val="0"/>
          <w:sz w:val="32"/>
          <w:szCs w:val="32"/>
        </w:rPr>
        <w:t>%；其他收入</w:t>
      </w:r>
      <w:r>
        <w:rPr>
          <w:rStyle w:val="10"/>
          <w:rFonts w:ascii="方正仿宋_GBK" w:hAnsi="黑体" w:eastAsia="方正仿宋_GBK" w:cs="黑体"/>
          <w:b w:val="0"/>
          <w:sz w:val="32"/>
          <w:szCs w:val="32"/>
          <w:shd w:val="clear" w:color="auto" w:fill="FFFFFF"/>
        </w:rPr>
        <w:t>917.58</w:t>
      </w:r>
      <w:r>
        <w:rPr>
          <w:rStyle w:val="10"/>
          <w:rFonts w:ascii="方正仿宋_GBK" w:hAnsi="黑体" w:eastAsia="方正仿宋_GBK" w:cs="黑体"/>
          <w:b w:val="0"/>
          <w:sz w:val="32"/>
          <w:szCs w:val="32"/>
        </w:rPr>
        <w:t>万元，占52.41%。</w:t>
      </w:r>
      <w:r>
        <w:rPr>
          <w:rFonts w:ascii="方正仿宋_GBK" w:hAnsi="方正仿宋_GBK" w:eastAsia="方正仿宋_GBK" w:cs="方正仿宋_GBK"/>
          <w:sz w:val="32"/>
          <w:szCs w:val="32"/>
          <w:shd w:val="clear" w:color="auto" w:fill="FFFFFF"/>
        </w:rPr>
        <w:t>年初结转和结余</w:t>
      </w:r>
      <w:r>
        <w:rPr>
          <w:rFonts w:ascii="方正仿宋_GBK" w:hAnsi="方正仿宋_GBK" w:eastAsia="方正仿宋_GBK" w:cs="方正仿宋_GBK"/>
          <w:sz w:val="32"/>
          <w:szCs w:val="32"/>
        </w:rPr>
        <w:t>322.25</w:t>
      </w:r>
      <w:r>
        <w:rPr>
          <w:rFonts w:ascii="方正仿宋_GBK" w:hAnsi="方正仿宋_GBK" w:eastAsia="方正仿宋_GBK" w:cs="方正仿宋_GBK"/>
          <w:sz w:val="32"/>
          <w:szCs w:val="32"/>
          <w:shd w:val="clear" w:color="auto" w:fill="FFFFFF"/>
        </w:rPr>
        <w:t>万元。</w:t>
      </w:r>
    </w:p>
    <w:p>
      <w:pPr>
        <w:widowControl w:val="0"/>
        <w:overflowPunct w:val="0"/>
        <w:topLinePunct/>
        <w:spacing w:line="579" w:lineRule="exact"/>
        <w:ind w:firstLine="629" w:firstLineChars="196"/>
        <w:jc w:val="both"/>
        <w:rPr>
          <w:rFonts w:hint="default" w:ascii="方正仿宋_GBK" w:eastAsia="方正仿宋_GBK"/>
          <w:sz w:val="32"/>
          <w:szCs w:val="32"/>
        </w:rPr>
      </w:pPr>
      <w:r>
        <w:rPr>
          <w:rStyle w:val="10"/>
          <w:rFonts w:ascii="方正仿宋_GBK" w:hAnsi="方正仿宋_GBK" w:eastAsia="方正仿宋_GBK" w:cs="方正仿宋_GBK"/>
          <w:sz w:val="32"/>
          <w:szCs w:val="32"/>
          <w:shd w:val="clear" w:color="auto" w:fill="FFFFFF"/>
        </w:rPr>
        <w:t>3.支出情况。</w:t>
      </w:r>
      <w:r>
        <w:rPr>
          <w:rFonts w:ascii="方正仿宋_GBK" w:hAnsi="方正仿宋_GBK" w:eastAsia="方正仿宋_GBK" w:cs="方正仿宋_GBK"/>
          <w:sz w:val="32"/>
          <w:szCs w:val="32"/>
          <w:shd w:val="clear" w:color="auto" w:fill="FFFFFF"/>
        </w:rPr>
        <w:t>2024年度支出合计</w:t>
      </w:r>
      <w:r>
        <w:rPr>
          <w:rFonts w:ascii="方正仿宋_GBK" w:hAnsi="方正仿宋_GBK" w:eastAsia="方正仿宋_GBK" w:cs="方正仿宋_GBK"/>
          <w:sz w:val="32"/>
          <w:szCs w:val="32"/>
        </w:rPr>
        <w:t>2047.56</w:t>
      </w:r>
      <w:r>
        <w:rPr>
          <w:rFonts w:ascii="方正仿宋_GBK" w:hAnsi="方正仿宋_GBK" w:eastAsia="方正仿宋_GBK" w:cs="方正仿宋_GBK"/>
          <w:sz w:val="32"/>
          <w:szCs w:val="32"/>
          <w:shd w:val="clear" w:color="auto" w:fill="FFFFFF"/>
        </w:rPr>
        <w:t>万元，较上年决算数增加633.75万元，增加44.83%，主要原因是</w:t>
      </w:r>
      <w:r>
        <w:rPr>
          <w:rFonts w:ascii="方正仿宋_GBK" w:eastAsia="方正仿宋_GBK"/>
          <w:sz w:val="32"/>
          <w:szCs w:val="32"/>
        </w:rPr>
        <w:t xml:space="preserve">增加了2023年“以奖促治”相关项目资金支出。 </w:t>
      </w:r>
      <w:r>
        <w:rPr>
          <w:rFonts w:ascii="方正仿宋_GBK" w:hAnsi="方正仿宋_GBK" w:eastAsia="方正仿宋_GBK" w:cs="方正仿宋_GBK"/>
          <w:sz w:val="32"/>
          <w:szCs w:val="32"/>
          <w:shd w:val="clear" w:color="auto" w:fill="FFFFFF"/>
        </w:rPr>
        <w:t>其中：基本支出</w:t>
      </w:r>
      <w:r>
        <w:rPr>
          <w:rFonts w:ascii="方正仿宋_GBK" w:hAnsi="方正仿宋_GBK" w:eastAsia="方正仿宋_GBK" w:cs="方正仿宋_GBK"/>
          <w:sz w:val="32"/>
          <w:szCs w:val="32"/>
        </w:rPr>
        <w:t>1103.96</w:t>
      </w:r>
      <w:r>
        <w:rPr>
          <w:rFonts w:ascii="方正仿宋_GBK" w:hAnsi="方正仿宋_GBK" w:eastAsia="方正仿宋_GBK" w:cs="方正仿宋_GBK"/>
          <w:sz w:val="32"/>
          <w:szCs w:val="32"/>
          <w:shd w:val="clear" w:color="auto" w:fill="FFFFFF"/>
        </w:rPr>
        <w:t>万元，占53.92%；项目支出</w:t>
      </w:r>
      <w:r>
        <w:rPr>
          <w:rFonts w:ascii="方正仿宋_GBK" w:hAnsi="方正仿宋_GBK" w:eastAsia="方正仿宋_GBK" w:cs="方正仿宋_GBK"/>
          <w:sz w:val="32"/>
          <w:szCs w:val="32"/>
        </w:rPr>
        <w:t>943.60</w:t>
      </w:r>
      <w:r>
        <w:rPr>
          <w:rFonts w:ascii="方正仿宋_GBK" w:hAnsi="方正仿宋_GBK" w:eastAsia="方正仿宋_GBK" w:cs="方正仿宋_GBK"/>
          <w:sz w:val="32"/>
          <w:szCs w:val="32"/>
          <w:shd w:val="clear" w:color="auto" w:fill="FFFFFF"/>
        </w:rPr>
        <w:t>万元，占46.08%。</w:t>
      </w:r>
    </w:p>
    <w:p>
      <w:pPr>
        <w:widowControl w:val="0"/>
        <w:overflowPunct w:val="0"/>
        <w:topLinePunct/>
        <w:spacing w:line="579" w:lineRule="exact"/>
        <w:ind w:firstLine="629" w:firstLineChars="196"/>
        <w:jc w:val="both"/>
        <w:rPr>
          <w:rFonts w:hint="default" w:ascii="方正仿宋_GBK" w:eastAsia="方正仿宋_GBK"/>
          <w:sz w:val="32"/>
          <w:szCs w:val="32"/>
        </w:rPr>
      </w:pPr>
      <w:r>
        <w:rPr>
          <w:rStyle w:val="10"/>
          <w:rFonts w:ascii="方正仿宋_GBK" w:hAnsi="方正仿宋_GBK" w:eastAsia="方正仿宋_GBK" w:cs="方正仿宋_GBK"/>
          <w:sz w:val="32"/>
          <w:szCs w:val="32"/>
          <w:shd w:val="clear" w:color="auto" w:fill="FFFFFF"/>
        </w:rPr>
        <w:t>4.结转结余情况。</w:t>
      </w:r>
      <w:r>
        <w:rPr>
          <w:rFonts w:ascii="方正仿宋_GBK" w:hAnsi="方正仿宋_GBK" w:eastAsia="方正仿宋_GBK" w:cs="方正仿宋_GBK"/>
          <w:sz w:val="32"/>
          <w:szCs w:val="32"/>
          <w:shd w:val="clear" w:color="auto" w:fill="FFFFFF"/>
        </w:rPr>
        <w:t>2024年度年末结转和结余</w:t>
      </w:r>
      <w:r>
        <w:rPr>
          <w:rFonts w:ascii="方正仿宋_GBK" w:hAnsi="方正仿宋_GBK" w:eastAsia="方正仿宋_GBK" w:cs="方正仿宋_GBK"/>
          <w:sz w:val="32"/>
          <w:szCs w:val="32"/>
        </w:rPr>
        <w:t>25.34</w:t>
      </w:r>
      <w:r>
        <w:rPr>
          <w:rFonts w:ascii="方正仿宋_GBK" w:hAnsi="方正仿宋_GBK" w:eastAsia="方正仿宋_GBK" w:cs="方正仿宋_GBK"/>
          <w:sz w:val="32"/>
          <w:szCs w:val="32"/>
          <w:shd w:val="clear" w:color="auto" w:fill="FFFFFF"/>
        </w:rPr>
        <w:t>万元，较上年决算数减少296.91万元，减少92.14%，主要原因是</w:t>
      </w:r>
      <w:r>
        <w:rPr>
          <w:rFonts w:ascii="方正仿宋_GBK" w:eastAsia="方正仿宋_GBK"/>
          <w:sz w:val="32"/>
          <w:szCs w:val="32"/>
        </w:rPr>
        <w:t>减少了2023年“以奖促治”相关项目的结转和结余。</w:t>
      </w:r>
    </w:p>
    <w:p>
      <w:pPr>
        <w:pStyle w:val="11"/>
        <w:autoSpaceDE w:val="0"/>
        <w:spacing w:line="579" w:lineRule="exact"/>
        <w:ind w:firstLine="0" w:firstLineChars="0"/>
        <w:jc w:val="both"/>
        <w:rPr>
          <w:rFonts w:ascii="方正楷体_GBK" w:hAnsi="楷体" w:eastAsia="方正楷体_GBK" w:cs="楷体"/>
          <w:bCs/>
          <w:sz w:val="32"/>
          <w:szCs w:val="32"/>
          <w:shd w:val="clear" w:color="auto" w:fill="FFFFFF"/>
        </w:rPr>
      </w:pPr>
      <w:r>
        <w:rPr>
          <w:rFonts w:hint="eastAsia" w:ascii="方正楷体_GBK" w:hAnsi="楷体" w:eastAsia="方正楷体_GBK" w:cs="楷体"/>
          <w:bCs/>
          <w:sz w:val="32"/>
          <w:szCs w:val="32"/>
          <w:shd w:val="clear" w:color="auto" w:fill="FFFFFF"/>
        </w:rPr>
        <w:t>（二）财政拨款收入支出决算总体情况说明</w:t>
      </w:r>
    </w:p>
    <w:p>
      <w:pPr>
        <w:widowControl w:val="0"/>
        <w:overflowPunct w:val="0"/>
        <w:topLinePunct/>
        <w:spacing w:line="579" w:lineRule="exact"/>
        <w:ind w:firstLine="640" w:firstLineChars="200"/>
        <w:jc w:val="both"/>
        <w:rPr>
          <w:rFonts w:hint="default" w:ascii="方正仿宋_GBK" w:eastAsia="方正仿宋_GBK"/>
          <w:sz w:val="32"/>
          <w:szCs w:val="32"/>
        </w:rPr>
      </w:pPr>
      <w:r>
        <w:rPr>
          <w:rFonts w:ascii="方正仿宋_GBK" w:hAnsi="方正仿宋_GBK" w:eastAsia="方正仿宋_GBK" w:cs="方正仿宋_GBK"/>
          <w:sz w:val="32"/>
          <w:szCs w:val="32"/>
          <w:shd w:val="clear" w:color="auto" w:fill="FFFFFF"/>
        </w:rPr>
        <w:t>2024年度财政拨款收、支总计833.07万元。与2023年相比，财政拨款收、支总计各增加51.29万元，增长6.56%。主要原因是</w:t>
      </w:r>
      <w:r>
        <w:rPr>
          <w:rFonts w:ascii="方正仿宋_GBK" w:eastAsia="方正仿宋_GBK"/>
          <w:sz w:val="32"/>
          <w:szCs w:val="32"/>
        </w:rPr>
        <w:t>增加了事业人员工资及超额绩效工资的收入及支出。</w:t>
      </w:r>
    </w:p>
    <w:p>
      <w:pPr>
        <w:pStyle w:val="6"/>
        <w:snapToGrid w:val="0"/>
        <w:spacing w:before="0" w:beforeAutospacing="0" w:after="0" w:afterAutospacing="0" w:line="579" w:lineRule="exact"/>
        <w:jc w:val="both"/>
        <w:rPr>
          <w:rFonts w:hint="default" w:ascii="方正楷体_GBK" w:hAnsi="楷体" w:eastAsia="方正楷体_GBK" w:cs="楷体"/>
          <w:bCs/>
          <w:sz w:val="32"/>
          <w:szCs w:val="32"/>
          <w:shd w:val="clear" w:color="auto" w:fill="FFFFFF"/>
        </w:rPr>
      </w:pPr>
      <w:r>
        <w:rPr>
          <w:rFonts w:ascii="方正楷体_GBK" w:hAnsi="楷体" w:eastAsia="方正楷体_GBK" w:cs="楷体"/>
          <w:bCs/>
          <w:sz w:val="32"/>
          <w:szCs w:val="32"/>
          <w:shd w:val="clear" w:color="auto" w:fill="FFFFFF"/>
        </w:rPr>
        <w:t>（三）一般公共预算财政拨款收入支出决算情况说明</w:t>
      </w:r>
    </w:p>
    <w:p>
      <w:pPr>
        <w:widowControl w:val="0"/>
        <w:overflowPunct w:val="0"/>
        <w:topLinePunct/>
        <w:spacing w:line="579" w:lineRule="exact"/>
        <w:ind w:firstLine="629" w:firstLineChars="196"/>
        <w:jc w:val="both"/>
        <w:rPr>
          <w:rFonts w:hint="default" w:ascii="方正仿宋_GBK" w:eastAsia="方正仿宋_GBK"/>
          <w:sz w:val="32"/>
          <w:szCs w:val="32"/>
        </w:rPr>
      </w:pPr>
      <w:r>
        <w:rPr>
          <w:rStyle w:val="10"/>
          <w:rFonts w:ascii="方正仿宋_GBK" w:hAnsi="方正仿宋_GBK" w:eastAsia="方正仿宋_GBK" w:cs="方正仿宋_GBK"/>
          <w:sz w:val="32"/>
          <w:szCs w:val="32"/>
          <w:shd w:val="clear" w:color="auto" w:fill="FFFFFF"/>
        </w:rPr>
        <w:t>1.收入情况。</w:t>
      </w:r>
      <w:r>
        <w:rPr>
          <w:rFonts w:ascii="方正仿宋_GBK" w:hAnsi="方正仿宋_GBK" w:eastAsia="方正仿宋_GBK" w:cs="方正仿宋_GBK"/>
          <w:sz w:val="32"/>
          <w:szCs w:val="32"/>
          <w:shd w:val="clear" w:color="auto" w:fill="FFFFFF"/>
        </w:rPr>
        <w:t>2024年度一般公共预算财政拨款收入</w:t>
      </w:r>
      <w:r>
        <w:rPr>
          <w:rFonts w:ascii="方正仿宋_GBK" w:hAnsi="方正仿宋_GBK" w:eastAsia="方正仿宋_GBK" w:cs="方正仿宋_GBK"/>
          <w:sz w:val="32"/>
          <w:szCs w:val="32"/>
        </w:rPr>
        <w:t>833.07</w:t>
      </w:r>
      <w:r>
        <w:rPr>
          <w:rFonts w:ascii="方正仿宋_GBK" w:hAnsi="方正仿宋_GBK" w:eastAsia="方正仿宋_GBK" w:cs="方正仿宋_GBK"/>
          <w:sz w:val="32"/>
          <w:szCs w:val="32"/>
          <w:shd w:val="clear" w:color="auto" w:fill="FFFFFF"/>
        </w:rPr>
        <w:t>万元，较上年决算数增加51.29万元，增长6.56%。主要原因是</w:t>
      </w:r>
      <w:r>
        <w:rPr>
          <w:rFonts w:ascii="方正仿宋_GBK" w:eastAsia="方正仿宋_GBK"/>
          <w:sz w:val="32"/>
          <w:szCs w:val="32"/>
        </w:rPr>
        <w:t>增加了事业人员工资及超额绩效工资的收入。</w:t>
      </w:r>
      <w:r>
        <w:rPr>
          <w:rFonts w:ascii="方正仿宋_GBK" w:hAnsi="方正仿宋_GBK" w:eastAsia="方正仿宋_GBK" w:cs="方正仿宋_GBK"/>
          <w:sz w:val="32"/>
          <w:szCs w:val="32"/>
          <w:shd w:val="clear" w:color="auto" w:fill="FFFFFF"/>
        </w:rPr>
        <w:t>较年初预算数增加128.2</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万元，增长18.19%。主要原因是</w:t>
      </w:r>
      <w:r>
        <w:rPr>
          <w:rFonts w:ascii="方正仿宋_GBK" w:eastAsia="方正仿宋_GBK"/>
          <w:sz w:val="32"/>
          <w:szCs w:val="32"/>
        </w:rPr>
        <w:t>增加了事业人员工资及超额绩效工资的收入。</w:t>
      </w:r>
      <w:r>
        <w:rPr>
          <w:rFonts w:ascii="方正仿宋_GBK" w:hAnsi="方正仿宋_GBK" w:eastAsia="方正仿宋_GBK" w:cs="方正仿宋_GBK"/>
          <w:sz w:val="32"/>
          <w:szCs w:val="32"/>
          <w:shd w:val="clear" w:color="auto" w:fill="FFFFFF"/>
        </w:rPr>
        <w:t>此外，年初财政拨款结转和结余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pPr>
        <w:pStyle w:val="6"/>
        <w:snapToGrid w:val="0"/>
        <w:spacing w:before="0" w:beforeAutospacing="0" w:after="0" w:afterAutospacing="0" w:line="579" w:lineRule="exact"/>
        <w:ind w:firstLine="629" w:firstLineChars="196"/>
        <w:jc w:val="both"/>
        <w:rPr>
          <w:rFonts w:hint="default" w:ascii="方正仿宋_GBK" w:eastAsia="方正仿宋_GBK"/>
          <w:sz w:val="32"/>
          <w:szCs w:val="32"/>
        </w:rPr>
      </w:pPr>
      <w:r>
        <w:rPr>
          <w:rStyle w:val="10"/>
          <w:rFonts w:ascii="方正仿宋_GBK" w:hAnsi="方正仿宋_GBK" w:eastAsia="方正仿宋_GBK" w:cs="方正仿宋_GBK"/>
          <w:sz w:val="32"/>
          <w:szCs w:val="32"/>
          <w:shd w:val="clear" w:color="auto" w:fill="FFFFFF"/>
        </w:rPr>
        <w:t>2.支出情况。</w:t>
      </w:r>
      <w:r>
        <w:rPr>
          <w:rFonts w:ascii="方正仿宋_GBK" w:hAnsi="方正仿宋_GBK" w:eastAsia="方正仿宋_GBK" w:cs="方正仿宋_GBK"/>
          <w:sz w:val="32"/>
          <w:szCs w:val="32"/>
          <w:shd w:val="clear" w:color="auto" w:fill="FFFFFF"/>
        </w:rPr>
        <w:t>2024年度一般公共预算财政拨款支出</w:t>
      </w:r>
      <w:r>
        <w:rPr>
          <w:rFonts w:ascii="方正仿宋_GBK" w:hAnsi="方正仿宋_GBK" w:eastAsia="方正仿宋_GBK" w:cs="方正仿宋_GBK"/>
          <w:sz w:val="32"/>
          <w:szCs w:val="32"/>
        </w:rPr>
        <w:t>833.07</w:t>
      </w:r>
      <w:r>
        <w:rPr>
          <w:rFonts w:ascii="方正仿宋_GBK" w:hAnsi="方正仿宋_GBK" w:eastAsia="方正仿宋_GBK" w:cs="方正仿宋_GBK"/>
          <w:sz w:val="32"/>
          <w:szCs w:val="32"/>
          <w:shd w:val="clear" w:color="auto" w:fill="FFFFFF"/>
        </w:rPr>
        <w:t>万元，较上年决算数增加51.29万元，增长6.56%。主要原因是</w:t>
      </w:r>
      <w:r>
        <w:rPr>
          <w:rFonts w:ascii="方正仿宋_GBK" w:eastAsia="方正仿宋_GBK"/>
          <w:sz w:val="32"/>
          <w:szCs w:val="32"/>
        </w:rPr>
        <w:t>增加了事业人员工资及超额绩效工资的支出。</w:t>
      </w:r>
      <w:r>
        <w:rPr>
          <w:rFonts w:ascii="方正仿宋_GBK" w:hAnsi="方正仿宋_GBK" w:eastAsia="方正仿宋_GBK" w:cs="方正仿宋_GBK"/>
          <w:sz w:val="32"/>
          <w:szCs w:val="32"/>
          <w:shd w:val="clear" w:color="auto" w:fill="FFFFFF"/>
        </w:rPr>
        <w:t>较年初预算数增加128.2</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万元，增长18.19%。主要原因是</w:t>
      </w:r>
      <w:r>
        <w:rPr>
          <w:rFonts w:ascii="方正仿宋_GBK" w:eastAsia="方正仿宋_GBK"/>
          <w:sz w:val="32"/>
          <w:szCs w:val="32"/>
        </w:rPr>
        <w:t>增加了事业人员工资及超额绩效工资的支出。</w:t>
      </w:r>
    </w:p>
    <w:p>
      <w:pPr>
        <w:pStyle w:val="6"/>
        <w:snapToGrid w:val="0"/>
        <w:spacing w:before="0" w:beforeAutospacing="0" w:after="0" w:afterAutospacing="0" w:line="579" w:lineRule="exact"/>
        <w:ind w:firstLine="629" w:firstLineChars="196"/>
        <w:jc w:val="both"/>
        <w:rPr>
          <w:rFonts w:hint="default" w:ascii="方正仿宋_GBK" w:hAnsi="方正仿宋_GBK" w:eastAsia="方正仿宋_GBK" w:cs="方正仿宋_GBK"/>
          <w:sz w:val="32"/>
          <w:szCs w:val="32"/>
          <w:shd w:val="clear" w:color="auto" w:fill="FFFFFF"/>
        </w:rPr>
      </w:pPr>
      <w:r>
        <w:rPr>
          <w:rStyle w:val="10"/>
          <w:rFonts w:ascii="方正仿宋_GBK" w:hAnsi="方正仿宋_GBK" w:eastAsia="方正仿宋_GBK" w:cs="方正仿宋_GBK"/>
          <w:sz w:val="32"/>
          <w:szCs w:val="32"/>
          <w:shd w:val="clear" w:color="auto" w:fill="FFFFFF"/>
        </w:rPr>
        <w:t>3.结转结余情况。</w:t>
      </w:r>
      <w:r>
        <w:rPr>
          <w:rFonts w:ascii="方正仿宋_GBK" w:hAnsi="方正仿宋_GBK" w:eastAsia="方正仿宋_GBK" w:cs="方正仿宋_GBK"/>
          <w:sz w:val="32"/>
          <w:szCs w:val="32"/>
          <w:shd w:val="clear" w:color="auto" w:fill="FFFFFF"/>
        </w:rPr>
        <w:t>2024年度年末一般公共预算财政拨款结转和结余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万元，较上年决算数无增减。</w:t>
      </w:r>
    </w:p>
    <w:p>
      <w:pPr>
        <w:pStyle w:val="6"/>
        <w:snapToGrid w:val="0"/>
        <w:spacing w:before="0" w:beforeAutospacing="0" w:after="0" w:afterAutospacing="0" w:line="579" w:lineRule="exact"/>
        <w:ind w:firstLine="629" w:firstLineChars="196"/>
        <w:jc w:val="both"/>
        <w:rPr>
          <w:rFonts w:hint="default" w:ascii="方正仿宋_GBK" w:hAnsi="方正仿宋_GBK" w:eastAsia="方正仿宋_GBK" w:cs="方正仿宋_GBK"/>
          <w:color w:val="FF0000"/>
          <w:sz w:val="32"/>
          <w:szCs w:val="32"/>
          <w:highlight w:val="cyan"/>
          <w:shd w:val="clear" w:color="auto" w:fill="FFFFFF"/>
        </w:rPr>
      </w:pPr>
      <w:r>
        <w:rPr>
          <w:rStyle w:val="10"/>
          <w:rFonts w:ascii="方正仿宋_GBK" w:hAnsi="方正仿宋_GBK" w:eastAsia="方正仿宋_GBK" w:cs="方正仿宋_GBK"/>
          <w:sz w:val="32"/>
          <w:szCs w:val="32"/>
          <w:shd w:val="clear" w:color="auto" w:fill="FFFFFF"/>
        </w:rPr>
        <w:t>4.比较情况。</w:t>
      </w:r>
      <w:r>
        <w:rPr>
          <w:rFonts w:ascii="方正仿宋_GBK" w:hAnsi="方正仿宋_GBK" w:eastAsia="方正仿宋_GBK" w:cs="方正仿宋_GBK"/>
          <w:sz w:val="32"/>
          <w:szCs w:val="32"/>
          <w:shd w:val="clear" w:color="auto" w:fill="FFFFFF"/>
        </w:rPr>
        <w:t>本单位2024年度一般公共预算财政拨款支出主要用于以下几个方面：</w:t>
      </w:r>
    </w:p>
    <w:p>
      <w:pPr>
        <w:pStyle w:val="6"/>
        <w:snapToGrid w:val="0"/>
        <w:spacing w:before="0" w:beforeAutospacing="0" w:after="0" w:afterAutospacing="0" w:line="579" w:lineRule="exact"/>
        <w:ind w:firstLine="480" w:firstLineChars="15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（1）社会保障与就业支出</w:t>
      </w:r>
      <w:r>
        <w:rPr>
          <w:rFonts w:ascii="方正仿宋_GBK" w:hAnsi="方正仿宋_GBK" w:eastAsia="方正仿宋_GBK" w:cs="方正仿宋_GBK"/>
          <w:sz w:val="32"/>
          <w:szCs w:val="32"/>
        </w:rPr>
        <w:t>151.96</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18.24</w:t>
      </w:r>
      <w:r>
        <w:rPr>
          <w:rFonts w:ascii="方正仿宋_GBK" w:hAnsi="方正仿宋_GBK" w:eastAsia="方正仿宋_GBK" w:cs="方正仿宋_GBK"/>
          <w:sz w:val="32"/>
          <w:szCs w:val="32"/>
          <w:shd w:val="clear" w:color="auto" w:fill="FFFFFF"/>
        </w:rPr>
        <w:t>%，较年初预算数增加85.</w:t>
      </w:r>
      <w:r>
        <w:rPr>
          <w:rFonts w:ascii="方正仿宋_GBK" w:hAnsi="方正仿宋_GBK" w:eastAsia="方正仿宋_GBK" w:cs="方正仿宋_GBK"/>
          <w:sz w:val="32"/>
          <w:szCs w:val="32"/>
        </w:rPr>
        <w:t xml:space="preserve"> 00</w:t>
      </w:r>
      <w:r>
        <w:rPr>
          <w:rFonts w:ascii="方正仿宋_GBK" w:hAnsi="方正仿宋_GBK" w:eastAsia="方正仿宋_GBK" w:cs="方正仿宋_GBK"/>
          <w:sz w:val="32"/>
          <w:szCs w:val="32"/>
          <w:shd w:val="clear" w:color="auto" w:fill="FFFFFF"/>
        </w:rPr>
        <w:t>万元，增长126.94%，主要原因是</w:t>
      </w:r>
      <w:r>
        <w:rPr>
          <w:rFonts w:ascii="方正仿宋_GBK" w:hAnsi="方正仿宋_GBK" w:eastAsia="方正仿宋_GBK" w:cs="方正仿宋_GBK"/>
          <w:sz w:val="32"/>
          <w:szCs w:val="32"/>
        </w:rPr>
        <w:t>人员的养</w:t>
      </w:r>
      <w:r>
        <w:rPr>
          <w:rFonts w:ascii="方正仿宋_GBK" w:eastAsia="方正仿宋_GBK" w:cs="宋体"/>
          <w:sz w:val="32"/>
          <w:szCs w:val="32"/>
        </w:rPr>
        <w:t>老保险、职业年金等费用的增加。</w:t>
      </w:r>
    </w:p>
    <w:p>
      <w:pPr>
        <w:pStyle w:val="6"/>
        <w:snapToGrid w:val="0"/>
        <w:spacing w:before="0" w:beforeAutospacing="0" w:after="0" w:afterAutospacing="0" w:line="579" w:lineRule="exact"/>
        <w:ind w:firstLine="480" w:firstLineChars="15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（2）卫生健康支出</w:t>
      </w:r>
      <w:r>
        <w:rPr>
          <w:rFonts w:ascii="方正仿宋_GBK" w:hAnsi="方正仿宋_GBK" w:eastAsia="方正仿宋_GBK" w:cs="方正仿宋_GBK"/>
          <w:sz w:val="32"/>
          <w:szCs w:val="32"/>
        </w:rPr>
        <w:t>36.54</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4.39</w:t>
      </w:r>
      <w:r>
        <w:rPr>
          <w:rFonts w:ascii="方正仿宋_GBK" w:hAnsi="方正仿宋_GBK" w:eastAsia="方正仿宋_GBK" w:cs="方正仿宋_GBK"/>
          <w:sz w:val="32"/>
          <w:szCs w:val="32"/>
          <w:shd w:val="clear" w:color="auto" w:fill="FFFFFF"/>
        </w:rPr>
        <w:t>%，</w:t>
      </w:r>
      <w:bookmarkStart w:id="0" w:name="OLE_LINK1"/>
      <w:bookmarkStart w:id="1" w:name="OLE_LINK2"/>
      <w:r>
        <w:rPr>
          <w:rFonts w:ascii="方正仿宋_GBK" w:hAnsi="方正仿宋_GBK" w:eastAsia="方正仿宋_GBK" w:cs="方正仿宋_GBK"/>
          <w:sz w:val="32"/>
          <w:szCs w:val="32"/>
          <w:shd w:val="clear" w:color="auto" w:fill="FFFFFF"/>
        </w:rPr>
        <w:t>与年初预算数持平，没有增减。</w:t>
      </w:r>
    </w:p>
    <w:bookmarkEnd w:id="0"/>
    <w:bookmarkEnd w:id="1"/>
    <w:p>
      <w:pPr>
        <w:pStyle w:val="6"/>
        <w:snapToGrid w:val="0"/>
        <w:spacing w:before="0" w:beforeAutospacing="0" w:after="0" w:afterAutospacing="0" w:line="579" w:lineRule="exact"/>
        <w:ind w:firstLine="480" w:firstLineChars="15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（3）节能环保支出</w:t>
      </w:r>
      <w:r>
        <w:rPr>
          <w:rFonts w:ascii="方正仿宋_GBK" w:hAnsi="方正仿宋_GBK" w:eastAsia="方正仿宋_GBK" w:cs="方正仿宋_GBK"/>
          <w:sz w:val="32"/>
          <w:szCs w:val="32"/>
        </w:rPr>
        <w:t>611.09</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73.35</w:t>
      </w:r>
      <w:r>
        <w:rPr>
          <w:rFonts w:ascii="方正仿宋_GBK" w:hAnsi="方正仿宋_GBK" w:eastAsia="方正仿宋_GBK" w:cs="方正仿宋_GBK"/>
          <w:sz w:val="32"/>
          <w:szCs w:val="32"/>
          <w:shd w:val="clear" w:color="auto" w:fill="FFFFFF"/>
        </w:rPr>
        <w:t>%，较年初预算数增加43.2</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万元，增长7.6%，主要原因是相关环境监测费用的增加。</w:t>
      </w:r>
    </w:p>
    <w:p>
      <w:pPr>
        <w:pStyle w:val="6"/>
        <w:snapToGrid w:val="0"/>
        <w:spacing w:before="0" w:beforeAutospacing="0" w:after="0" w:afterAutospacing="0" w:line="579" w:lineRule="exact"/>
        <w:ind w:firstLine="480" w:firstLineChars="15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（4）</w:t>
      </w:r>
      <w:r>
        <w:rPr>
          <w:rFonts w:ascii="方正仿宋_GBK" w:hAnsi="方正仿宋_GBK" w:eastAsia="方正仿宋_GBK" w:cs="方正仿宋_GBK"/>
          <w:sz w:val="32"/>
          <w:szCs w:val="32"/>
        </w:rPr>
        <w:t>住房保障支出33.48</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4.02</w:t>
      </w:r>
      <w:r>
        <w:rPr>
          <w:rFonts w:ascii="方正仿宋_GBK" w:hAnsi="方正仿宋_GBK" w:eastAsia="方正仿宋_GBK" w:cs="方正仿宋_GBK"/>
          <w:sz w:val="32"/>
          <w:szCs w:val="32"/>
          <w:shd w:val="clear" w:color="auto" w:fill="FFFFFF"/>
        </w:rPr>
        <w:t>%，与年初预算数持平，没有增减。</w:t>
      </w:r>
    </w:p>
    <w:p>
      <w:pPr>
        <w:spacing w:line="579" w:lineRule="exact"/>
        <w:ind w:firstLine="480" w:firstLineChars="150"/>
        <w:jc w:val="both"/>
        <w:rPr>
          <w:rFonts w:hint="default" w:ascii="方正楷体_GBK" w:hAnsi="楷体" w:eastAsia="方正楷体_GBK" w:cs="楷体"/>
          <w:bCs/>
          <w:sz w:val="32"/>
          <w:szCs w:val="32"/>
          <w:shd w:val="clear" w:color="auto" w:fill="FFFFFF"/>
        </w:rPr>
      </w:pPr>
      <w:r>
        <w:rPr>
          <w:rFonts w:ascii="方正楷体_GBK" w:hAnsi="楷体" w:eastAsia="方正楷体_GBK" w:cs="楷体"/>
          <w:bCs/>
          <w:sz w:val="32"/>
          <w:szCs w:val="32"/>
          <w:shd w:val="clear" w:color="auto" w:fill="FFFFFF"/>
        </w:rPr>
        <w:t>（四）一般公共预算财政拨款基本支出决算情况说明</w:t>
      </w:r>
    </w:p>
    <w:p>
      <w:pPr>
        <w:widowControl w:val="0"/>
        <w:overflowPunct w:val="0"/>
        <w:topLinePunct/>
        <w:spacing w:line="579" w:lineRule="exact"/>
        <w:jc w:val="both"/>
        <w:rPr>
          <w:rFonts w:hint="default" w:ascii="方正仿宋_GBK" w:eastAsia="方正仿宋_GBK"/>
          <w:sz w:val="32"/>
          <w:szCs w:val="32"/>
        </w:rPr>
      </w:pPr>
      <w:r>
        <w:rPr>
          <w:rFonts w:cs="宋体"/>
          <w:sz w:val="32"/>
          <w:szCs w:val="32"/>
          <w:shd w:val="clear" w:color="auto" w:fill="FFFFFF"/>
        </w:rPr>
        <w:t xml:space="preserve">   </w:t>
      </w:r>
      <w:r>
        <w:rPr>
          <w:rFonts w:ascii="方正仿宋_GBK" w:hAnsi="方正仿宋_GBK" w:eastAsia="方正仿宋_GBK" w:cs="方正仿宋_GBK"/>
          <w:sz w:val="32"/>
          <w:szCs w:val="32"/>
          <w:shd w:val="clear" w:color="auto" w:fill="FFFFFF"/>
        </w:rPr>
        <w:t>2024年度一般公共财政拨款基本支出</w:t>
      </w:r>
      <w:r>
        <w:rPr>
          <w:rFonts w:ascii="方正仿宋_GBK" w:hAnsi="方正仿宋_GBK" w:eastAsia="方正仿宋_GBK" w:cs="方正仿宋_GBK"/>
          <w:sz w:val="32"/>
          <w:szCs w:val="32"/>
        </w:rPr>
        <w:t>781.72</w:t>
      </w:r>
      <w:r>
        <w:rPr>
          <w:rFonts w:ascii="方正仿宋_GBK" w:hAnsi="方正仿宋_GBK" w:eastAsia="方正仿宋_GBK" w:cs="方正仿宋_GBK"/>
          <w:sz w:val="32"/>
          <w:szCs w:val="32"/>
          <w:shd w:val="clear" w:color="auto" w:fill="FFFFFF"/>
        </w:rPr>
        <w:t>万元。其中：人员经费</w:t>
      </w:r>
      <w:r>
        <w:rPr>
          <w:rFonts w:ascii="方正仿宋_GBK" w:hAnsi="方正仿宋_GBK" w:eastAsia="方正仿宋_GBK" w:cs="方正仿宋_GBK"/>
          <w:sz w:val="32"/>
          <w:szCs w:val="32"/>
        </w:rPr>
        <w:t>718.59</w:t>
      </w:r>
      <w:r>
        <w:rPr>
          <w:rFonts w:ascii="方正仿宋_GBK" w:hAnsi="方正仿宋_GBK" w:eastAsia="方正仿宋_GBK" w:cs="方正仿宋_GBK"/>
          <w:sz w:val="32"/>
          <w:szCs w:val="32"/>
          <w:shd w:val="clear" w:color="auto" w:fill="FFFFFF"/>
        </w:rPr>
        <w:t>万元，较上年决算数增加79.04万元，增加12.36%，主要原因是本年实际各类人员支出较上年有所增加。人员经费用途主要包括</w:t>
      </w:r>
      <w:r>
        <w:rPr>
          <w:rFonts w:ascii="方正仿宋_GBK" w:eastAsia="方正仿宋_GBK"/>
          <w:sz w:val="32"/>
          <w:szCs w:val="32"/>
        </w:rPr>
        <w:t>基本工资、津贴补贴、绩效工资、社会保障缴费、住房公积金、其他工资福利支出。</w:t>
      </w:r>
      <w:r>
        <w:rPr>
          <w:rFonts w:ascii="方正仿宋_GBK" w:hAnsi="方正仿宋_GBK" w:eastAsia="方正仿宋_GBK" w:cs="方正仿宋_GBK"/>
          <w:sz w:val="32"/>
          <w:szCs w:val="32"/>
          <w:shd w:val="clear" w:color="auto" w:fill="FFFFFF"/>
        </w:rPr>
        <w:t>公用经费</w:t>
      </w:r>
      <w:r>
        <w:rPr>
          <w:rFonts w:ascii="方正仿宋_GBK" w:hAnsi="方正仿宋_GBK" w:eastAsia="方正仿宋_GBK" w:cs="方正仿宋_GBK"/>
          <w:sz w:val="32"/>
          <w:szCs w:val="32"/>
        </w:rPr>
        <w:t>63.13</w:t>
      </w:r>
      <w:r>
        <w:rPr>
          <w:rFonts w:ascii="方正仿宋_GBK" w:hAnsi="方正仿宋_GBK" w:eastAsia="方正仿宋_GBK" w:cs="方正仿宋_GBK"/>
          <w:sz w:val="32"/>
          <w:szCs w:val="32"/>
          <w:shd w:val="clear" w:color="auto" w:fill="FFFFFF"/>
        </w:rPr>
        <w:t>万元，较上年决算数减少27.76万元，减少30.54%，主要原因是本年实际各类公用经费支出进行了压减。公用经费用途主要包括</w:t>
      </w:r>
      <w:r>
        <w:rPr>
          <w:rFonts w:ascii="方正仿宋_GBK" w:eastAsia="方正仿宋_GBK"/>
          <w:sz w:val="32"/>
          <w:szCs w:val="32"/>
        </w:rPr>
        <w:t>办公费、手续费、水费、电费、邮电费、物业管理费、差旅费、租赁费、维修（护）费、公务接待费、劳务费、专用材料费、公务用车运行维护费、其他交通费用、工会经费、职工教育费。</w:t>
      </w:r>
    </w:p>
    <w:p>
      <w:pPr>
        <w:pStyle w:val="6"/>
        <w:snapToGrid w:val="0"/>
        <w:spacing w:before="0" w:beforeAutospacing="0" w:after="0" w:afterAutospacing="0" w:line="579" w:lineRule="exact"/>
        <w:jc w:val="both"/>
        <w:rPr>
          <w:rFonts w:hint="default" w:ascii="方正楷体_GBK" w:hAnsi="楷体" w:eastAsia="方正楷体_GBK" w:cs="楷体"/>
          <w:bCs/>
          <w:sz w:val="32"/>
          <w:szCs w:val="32"/>
          <w:shd w:val="clear" w:color="auto" w:fill="FFFFFF"/>
        </w:rPr>
      </w:pPr>
      <w:r>
        <w:rPr>
          <w:rFonts w:ascii="方正楷体_GBK" w:hAnsi="楷体" w:eastAsia="方正楷体_GBK" w:cs="楷体"/>
          <w:bCs/>
          <w:sz w:val="32"/>
          <w:szCs w:val="32"/>
          <w:shd w:val="clear" w:color="auto" w:fill="FFFFFF"/>
        </w:rPr>
        <w:t>（五）政府性基金预算收支决算情况说明</w:t>
      </w:r>
    </w:p>
    <w:p>
      <w:pPr>
        <w:widowControl w:val="0"/>
        <w:spacing w:line="579" w:lineRule="exact"/>
        <w:jc w:val="both"/>
        <w:rPr>
          <w:rFonts w:hint="default" w:ascii="方正仿宋_GBK" w:eastAsia="方正仿宋_GBK"/>
          <w:sz w:val="32"/>
          <w:szCs w:val="32"/>
        </w:rPr>
      </w:pPr>
      <w:r>
        <w:rPr>
          <w:rFonts w:ascii="方正仿宋_GBK" w:eastAsia="方正仿宋_GBK"/>
          <w:sz w:val="32"/>
          <w:szCs w:val="32"/>
        </w:rPr>
        <w:t>本单位2024年度无政府性基金预算财政拨款收支。</w:t>
      </w:r>
    </w:p>
    <w:p>
      <w:pPr>
        <w:pStyle w:val="11"/>
        <w:autoSpaceDE w:val="0"/>
        <w:spacing w:line="579" w:lineRule="exact"/>
        <w:ind w:firstLine="0" w:firstLineChars="0"/>
        <w:jc w:val="both"/>
        <w:rPr>
          <w:rFonts w:ascii="方正楷体_GBK" w:hAnsi="楷体" w:eastAsia="方正楷体_GBK" w:cs="楷体"/>
          <w:bCs/>
          <w:sz w:val="32"/>
          <w:szCs w:val="32"/>
          <w:shd w:val="clear" w:color="auto" w:fill="FFFFFF"/>
        </w:rPr>
      </w:pPr>
      <w:r>
        <w:rPr>
          <w:rFonts w:hint="eastAsia" w:ascii="方正楷体_GBK" w:hAnsi="楷体" w:eastAsia="方正楷体_GBK" w:cs="楷体"/>
          <w:bCs/>
          <w:sz w:val="32"/>
          <w:szCs w:val="32"/>
          <w:shd w:val="clear" w:color="auto" w:fill="FFFFFF"/>
        </w:rPr>
        <w:t>（六）国有资本经营预算财政拨款支出决算情况说明</w:t>
      </w:r>
    </w:p>
    <w:p>
      <w:pPr>
        <w:pStyle w:val="6"/>
        <w:snapToGrid w:val="0"/>
        <w:spacing w:before="0" w:beforeAutospacing="0" w:after="0" w:afterAutospacing="0" w:line="579" w:lineRule="exact"/>
        <w:jc w:val="both"/>
        <w:rPr>
          <w:rFonts w:hint="default" w:ascii="方正仿宋_GBK" w:eastAsia="方正仿宋_GBK"/>
          <w:sz w:val="32"/>
          <w:szCs w:val="32"/>
        </w:rPr>
      </w:pPr>
      <w:r>
        <w:rPr>
          <w:rFonts w:ascii="方正仿宋_GBK" w:eastAsia="方正仿宋_GBK"/>
          <w:sz w:val="32"/>
          <w:szCs w:val="32"/>
        </w:rPr>
        <w:t>本单位2024年度无国有资本经营预算财政拨款支出。</w:t>
      </w:r>
    </w:p>
    <w:p>
      <w:pPr>
        <w:pStyle w:val="6"/>
        <w:snapToGrid w:val="0"/>
        <w:spacing w:before="0" w:beforeAutospacing="0" w:after="0" w:afterAutospacing="0" w:line="579" w:lineRule="exact"/>
        <w:jc w:val="both"/>
        <w:rPr>
          <w:rStyle w:val="10"/>
          <w:rFonts w:hint="default" w:ascii="方正黑体_GBK" w:hAnsi="黑体" w:eastAsia="方正黑体_GBK" w:cs="黑体"/>
          <w:b w:val="0"/>
          <w:sz w:val="32"/>
          <w:szCs w:val="32"/>
          <w:shd w:val="clear" w:color="auto" w:fill="FFFFFF"/>
        </w:rPr>
      </w:pPr>
      <w:r>
        <w:rPr>
          <w:rStyle w:val="10"/>
          <w:rFonts w:ascii="方正黑体_GBK" w:hAnsi="黑体" w:eastAsia="方正黑体_GBK" w:cs="黑体"/>
          <w:b w:val="0"/>
          <w:sz w:val="32"/>
          <w:szCs w:val="32"/>
          <w:shd w:val="clear" w:color="auto" w:fill="FFFFFF"/>
        </w:rPr>
        <w:t>三、“三公”经费情况说明</w:t>
      </w:r>
    </w:p>
    <w:p>
      <w:pPr>
        <w:pStyle w:val="11"/>
        <w:autoSpaceDE w:val="0"/>
        <w:spacing w:line="579" w:lineRule="exact"/>
        <w:ind w:firstLine="0" w:firstLineChars="0"/>
        <w:jc w:val="both"/>
        <w:rPr>
          <w:rFonts w:ascii="方正楷体_GBK" w:hAnsi="楷体" w:eastAsia="方正楷体_GBK" w:cs="楷体"/>
          <w:bCs/>
          <w:sz w:val="32"/>
          <w:szCs w:val="32"/>
          <w:shd w:val="clear" w:color="auto" w:fill="FFFFFF"/>
        </w:rPr>
      </w:pPr>
      <w:r>
        <w:rPr>
          <w:rFonts w:hint="eastAsia" w:ascii="方正楷体_GBK" w:hAnsi="楷体" w:eastAsia="方正楷体_GBK" w:cs="楷体"/>
          <w:bCs/>
          <w:sz w:val="32"/>
          <w:szCs w:val="32"/>
          <w:shd w:val="clear" w:color="auto" w:fill="FFFFFF"/>
        </w:rPr>
        <w:t>（一）“三公”经费支出总体情况说明</w:t>
      </w:r>
    </w:p>
    <w:p>
      <w:pPr>
        <w:pStyle w:val="6"/>
        <w:snapToGrid w:val="0"/>
        <w:spacing w:before="0" w:beforeAutospacing="0" w:after="0" w:afterAutospacing="0" w:line="579" w:lineRule="exact"/>
        <w:ind w:firstLine="640" w:firstLineChars="200"/>
        <w:jc w:val="both"/>
        <w:rPr>
          <w:rFonts w:hint="default" w:ascii="方正仿宋_GBK" w:eastAsia="方正仿宋_GBK"/>
          <w:sz w:val="32"/>
          <w:szCs w:val="32"/>
          <w:lang w:val="en-US" w:eastAsia="zh-CN"/>
        </w:rPr>
      </w:pPr>
      <w:r>
        <w:rPr>
          <w:rFonts w:ascii="方正仿宋_GBK" w:hAnsi="方正仿宋_GBK" w:eastAsia="方正仿宋_GBK" w:cs="方正仿宋_GBK"/>
          <w:sz w:val="32"/>
          <w:szCs w:val="32"/>
          <w:shd w:val="clear" w:color="auto" w:fill="FFFFFF"/>
        </w:rPr>
        <w:t>2024年度“三公”经费支出共计</w:t>
      </w:r>
      <w:r>
        <w:rPr>
          <w:rFonts w:ascii="方正仿宋_GBK" w:hAnsi="方正仿宋_GBK" w:eastAsia="方正仿宋_GBK" w:cs="方正仿宋_GBK"/>
          <w:sz w:val="32"/>
          <w:szCs w:val="32"/>
        </w:rPr>
        <w:t>10.5</w:t>
      </w:r>
      <w:bookmarkStart w:id="2" w:name="OLE_LINK8"/>
      <w:bookmarkStart w:id="3" w:name="OLE_LINK7"/>
      <w:r>
        <w:rPr>
          <w:rFonts w:ascii="方正仿宋_GBK" w:hAnsi="方正仿宋_GBK" w:eastAsia="方正仿宋_GBK" w:cs="方正仿宋_GBK"/>
          <w:sz w:val="32"/>
          <w:szCs w:val="32"/>
        </w:rPr>
        <w:t>0</w:t>
      </w:r>
      <w:bookmarkEnd w:id="2"/>
      <w:bookmarkEnd w:id="3"/>
      <w:r>
        <w:rPr>
          <w:rFonts w:ascii="方正仿宋_GBK" w:hAnsi="方正仿宋_GBK" w:eastAsia="方正仿宋_GBK" w:cs="方正仿宋_GBK"/>
          <w:sz w:val="32"/>
          <w:szCs w:val="32"/>
          <w:shd w:val="clear" w:color="auto" w:fill="FFFFFF"/>
        </w:rPr>
        <w:t>万元，与年初预算数持平，主要原因是</w:t>
      </w:r>
      <w:r>
        <w:rPr>
          <w:rFonts w:ascii="方正仿宋_GBK" w:eastAsia="方正仿宋_GBK"/>
          <w:sz w:val="32"/>
          <w:szCs w:val="32"/>
        </w:rPr>
        <w:t>严格预算管理，不超预算支出。</w:t>
      </w:r>
      <w:bookmarkStart w:id="16" w:name="_GoBack"/>
      <w:r>
        <w:rPr>
          <w:rFonts w:hint="eastAsia" w:ascii="方正仿宋_GBK" w:eastAsia="方正仿宋_GBK"/>
          <w:sz w:val="32"/>
          <w:szCs w:val="32"/>
          <w:lang w:eastAsia="zh-CN"/>
        </w:rPr>
        <w:t>较上年增加</w:t>
      </w:r>
      <w:r>
        <w:rPr>
          <w:rFonts w:hint="eastAsia" w:ascii="方正仿宋_GBK" w:eastAsia="方正仿宋_GBK"/>
          <w:sz w:val="32"/>
          <w:szCs w:val="32"/>
          <w:lang w:val="en-US" w:eastAsia="zh-CN"/>
        </w:rPr>
        <w:t>3.3万元，增加45.83%，主要原因是公务用车运行维护费较上年增加。</w:t>
      </w:r>
    </w:p>
    <w:bookmarkEnd w:id="16"/>
    <w:p>
      <w:pPr>
        <w:pStyle w:val="6"/>
        <w:snapToGrid w:val="0"/>
        <w:spacing w:before="0" w:beforeAutospacing="0" w:after="0" w:afterAutospacing="0" w:line="579" w:lineRule="exact"/>
        <w:jc w:val="both"/>
        <w:rPr>
          <w:rFonts w:hint="default" w:ascii="方正楷体_GBK" w:hAnsi="楷体" w:eastAsia="方正楷体_GBK" w:cs="楷体"/>
          <w:bCs/>
          <w:sz w:val="32"/>
          <w:szCs w:val="32"/>
          <w:shd w:val="clear" w:color="auto" w:fill="FFFFFF"/>
        </w:rPr>
      </w:pPr>
      <w:r>
        <w:rPr>
          <w:rFonts w:ascii="方正楷体_GBK" w:hAnsi="楷体" w:eastAsia="方正楷体_GBK" w:cs="楷体"/>
          <w:bCs/>
          <w:sz w:val="32"/>
          <w:szCs w:val="32"/>
          <w:shd w:val="clear" w:color="auto" w:fill="FFFFFF"/>
        </w:rPr>
        <w:t>（二）“三公”经费分项支出情况</w:t>
      </w:r>
    </w:p>
    <w:p>
      <w:pPr>
        <w:pStyle w:val="6"/>
        <w:snapToGrid w:val="0"/>
        <w:spacing w:before="0" w:beforeAutospacing="0" w:after="0" w:afterAutospacing="0" w:line="579"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2024年度本单位因公出国（境）费用</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万元，费用支出</w:t>
      </w:r>
      <w:bookmarkStart w:id="4" w:name="OLE_LINK10"/>
      <w:bookmarkStart w:id="5" w:name="OLE_LINK9"/>
      <w:r>
        <w:rPr>
          <w:rFonts w:ascii="方正仿宋_GBK" w:hAnsi="方正仿宋_GBK" w:eastAsia="方正仿宋_GBK" w:cs="方正仿宋_GBK"/>
          <w:sz w:val="32"/>
          <w:szCs w:val="32"/>
          <w:shd w:val="clear" w:color="auto" w:fill="FFFFFF"/>
        </w:rPr>
        <w:t>较年初预算数无增减</w:t>
      </w:r>
      <w:bookmarkEnd w:id="4"/>
      <w:bookmarkEnd w:id="5"/>
      <w:r>
        <w:rPr>
          <w:rFonts w:ascii="方正仿宋_GBK" w:hAnsi="方正仿宋_GBK" w:eastAsia="方正仿宋_GBK" w:cs="方正仿宋_GBK"/>
          <w:sz w:val="32"/>
          <w:szCs w:val="32"/>
          <w:shd w:val="clear" w:color="auto" w:fill="FFFFFF"/>
        </w:rPr>
        <w:t>，较上年支出数无增减，主要原因是本单位2024年度未发生因公出国（境）费用支出。 </w:t>
      </w:r>
    </w:p>
    <w:p>
      <w:pPr>
        <w:pStyle w:val="6"/>
        <w:snapToGrid w:val="0"/>
        <w:spacing w:before="0" w:beforeAutospacing="0" w:after="0" w:afterAutospacing="0" w:line="579"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公务车购置费</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万元，费用支出较年初预算数无增减，较上年支出数无增减，主要原因是本单位2024年度未发生公务车购置费用支出。 </w:t>
      </w:r>
    </w:p>
    <w:p>
      <w:pPr>
        <w:widowControl w:val="0"/>
        <w:overflowPunct w:val="0"/>
        <w:topLinePunct/>
        <w:spacing w:line="579" w:lineRule="exact"/>
        <w:ind w:firstLine="640" w:firstLineChars="200"/>
        <w:jc w:val="both"/>
        <w:rPr>
          <w:rFonts w:hint="default" w:cs="宋体"/>
          <w:sz w:val="32"/>
          <w:szCs w:val="32"/>
          <w:shd w:val="clear" w:color="auto" w:fill="FFFFFF"/>
        </w:rPr>
      </w:pPr>
      <w:r>
        <w:rPr>
          <w:rFonts w:ascii="方正仿宋_GBK" w:hAnsi="方正仿宋_GBK" w:eastAsia="方正仿宋_GBK" w:cs="方正仿宋_GBK"/>
          <w:sz w:val="32"/>
          <w:szCs w:val="32"/>
          <w:shd w:val="clear" w:color="auto" w:fill="FFFFFF"/>
        </w:rPr>
        <w:t>公务车运行维护费</w:t>
      </w:r>
      <w:r>
        <w:rPr>
          <w:rFonts w:ascii="方正仿宋_GBK" w:hAnsi="方正仿宋_GBK" w:eastAsia="方正仿宋_GBK" w:cs="方正仿宋_GBK"/>
          <w:sz w:val="32"/>
          <w:szCs w:val="32"/>
        </w:rPr>
        <w:t>10</w:t>
      </w:r>
      <w:r>
        <w:rPr>
          <w:rFonts w:ascii="方正仿宋_GBK" w:hAnsi="方正仿宋_GBK" w:eastAsia="方正仿宋_GBK" w:cs="方正仿宋_GBK"/>
          <w:sz w:val="32"/>
          <w:szCs w:val="32"/>
          <w:shd w:val="clear" w:color="auto" w:fill="FFFFFF"/>
        </w:rPr>
        <w:t>万元，主要用于</w:t>
      </w:r>
      <w:r>
        <w:rPr>
          <w:rFonts w:ascii="方正仿宋_GBK" w:eastAsia="方正仿宋_GBK"/>
          <w:sz w:val="32"/>
          <w:szCs w:val="32"/>
        </w:rPr>
        <w:t>环境监测外出采样等工作所需车辆的燃料费、维修费、过路过桥费、保险费等。</w:t>
      </w:r>
      <w:r>
        <w:rPr>
          <w:rFonts w:ascii="方正仿宋_GBK" w:hAnsi="方正仿宋_GBK" w:eastAsia="方正仿宋_GBK" w:cs="方正仿宋_GBK"/>
          <w:sz w:val="32"/>
          <w:szCs w:val="32"/>
          <w:shd w:val="clear" w:color="auto" w:fill="FFFFFF"/>
        </w:rPr>
        <w:t>费用支出与年初预算数持平，主要原因是</w:t>
      </w:r>
      <w:r>
        <w:rPr>
          <w:rFonts w:ascii="方正仿宋_GBK" w:eastAsia="方正仿宋_GBK"/>
          <w:sz w:val="32"/>
          <w:szCs w:val="32"/>
        </w:rPr>
        <w:t>严格预算管理，</w:t>
      </w:r>
      <w:bookmarkStart w:id="6" w:name="OLE_LINK3"/>
      <w:bookmarkStart w:id="7" w:name="OLE_LINK4"/>
      <w:r>
        <w:rPr>
          <w:rFonts w:ascii="方正仿宋_GBK" w:eastAsia="方正仿宋_GBK"/>
          <w:sz w:val="32"/>
          <w:szCs w:val="32"/>
        </w:rPr>
        <w:t>不超预算支出。</w:t>
      </w:r>
      <w:bookmarkEnd w:id="6"/>
      <w:bookmarkEnd w:id="7"/>
      <w:r>
        <w:rPr>
          <w:rFonts w:ascii="方正仿宋_GBK" w:hAnsi="方正仿宋_GBK" w:eastAsia="方正仿宋_GBK" w:cs="方正仿宋_GBK"/>
          <w:sz w:val="32"/>
          <w:szCs w:val="32"/>
          <w:shd w:val="clear" w:color="auto" w:fill="FFFFFF"/>
        </w:rPr>
        <w:t>较上年支出数增加3.2万元，增加47.06%，主要原因是</w:t>
      </w:r>
      <w:bookmarkStart w:id="8" w:name="OLE_LINK11"/>
      <w:bookmarkStart w:id="9" w:name="OLE_LINK12"/>
      <w:r>
        <w:rPr>
          <w:rFonts w:ascii="方正仿宋_GBK" w:eastAsia="方正仿宋_GBK"/>
          <w:sz w:val="32"/>
          <w:szCs w:val="32"/>
        </w:rPr>
        <w:t>本年公务用车运行维护实际费用较上年有所增加。</w:t>
      </w:r>
      <w:r>
        <w:rPr>
          <w:rFonts w:cs="宋体"/>
          <w:sz w:val="32"/>
          <w:szCs w:val="32"/>
          <w:shd w:val="clear" w:color="auto" w:fill="FFFFFF"/>
        </w:rPr>
        <w:t> </w:t>
      </w:r>
    </w:p>
    <w:bookmarkEnd w:id="8"/>
    <w:bookmarkEnd w:id="9"/>
    <w:p>
      <w:pPr>
        <w:widowControl w:val="0"/>
        <w:overflowPunct w:val="0"/>
        <w:topLinePunct/>
        <w:spacing w:line="579" w:lineRule="exact"/>
        <w:ind w:firstLine="640" w:firstLineChars="200"/>
        <w:jc w:val="both"/>
        <w:rPr>
          <w:rFonts w:hint="default" w:cs="宋体"/>
          <w:sz w:val="32"/>
          <w:szCs w:val="32"/>
          <w:shd w:val="clear" w:color="auto" w:fill="FFFFFF"/>
        </w:rPr>
      </w:pPr>
      <w:r>
        <w:rPr>
          <w:rFonts w:ascii="方正仿宋_GBK" w:hAnsi="方正仿宋_GBK" w:eastAsia="方正仿宋_GBK" w:cs="方正仿宋_GBK"/>
          <w:sz w:val="32"/>
          <w:szCs w:val="32"/>
          <w:shd w:val="clear" w:color="auto" w:fill="FFFFFF"/>
        </w:rPr>
        <w:t>公务接待费</w:t>
      </w:r>
      <w:r>
        <w:rPr>
          <w:rFonts w:ascii="方正仿宋_GBK" w:hAnsi="方正仿宋_GBK" w:eastAsia="方正仿宋_GBK" w:cs="方正仿宋_GBK"/>
          <w:sz w:val="32"/>
          <w:szCs w:val="32"/>
        </w:rPr>
        <w:t>0.5</w:t>
      </w:r>
      <w:bookmarkStart w:id="10" w:name="OLE_LINK6"/>
      <w:bookmarkStart w:id="11" w:name="OLE_LINK5"/>
      <w:r>
        <w:rPr>
          <w:rFonts w:ascii="方正仿宋_GBK" w:hAnsi="方正仿宋_GBK" w:eastAsia="方正仿宋_GBK" w:cs="方正仿宋_GBK"/>
          <w:sz w:val="32"/>
          <w:szCs w:val="32"/>
        </w:rPr>
        <w:t>0</w:t>
      </w:r>
      <w:bookmarkEnd w:id="10"/>
      <w:bookmarkEnd w:id="11"/>
      <w:r>
        <w:rPr>
          <w:rFonts w:ascii="方正仿宋_GBK" w:hAnsi="方正仿宋_GBK" w:eastAsia="方正仿宋_GBK" w:cs="方正仿宋_GBK"/>
          <w:sz w:val="32"/>
          <w:szCs w:val="32"/>
          <w:shd w:val="clear" w:color="auto" w:fill="FFFFFF"/>
        </w:rPr>
        <w:t>万元，主要用于</w:t>
      </w:r>
      <w:r>
        <w:rPr>
          <w:rFonts w:ascii="方正仿宋_GBK" w:eastAsia="方正仿宋_GBK"/>
          <w:sz w:val="32"/>
          <w:szCs w:val="32"/>
        </w:rPr>
        <w:t>接待市生态环境局、市生态环境监测中心等领导、专家到我单位检查指导工作。</w:t>
      </w:r>
      <w:r>
        <w:rPr>
          <w:rFonts w:ascii="方正仿宋_GBK" w:hAnsi="方正仿宋_GBK" w:eastAsia="方正仿宋_GBK" w:cs="方正仿宋_GBK"/>
          <w:sz w:val="32"/>
          <w:szCs w:val="32"/>
          <w:shd w:val="clear" w:color="auto" w:fill="FFFFFF"/>
        </w:rPr>
        <w:t>费用支出较年初预算数无增减，主要原因是</w:t>
      </w:r>
      <w:r>
        <w:rPr>
          <w:rFonts w:ascii="方正仿宋_GBK" w:eastAsia="方正仿宋_GBK"/>
          <w:sz w:val="32"/>
          <w:szCs w:val="32"/>
        </w:rPr>
        <w:t>严格预算管理，不超预算支出。</w:t>
      </w:r>
      <w:r>
        <w:rPr>
          <w:rFonts w:ascii="方正仿宋_GBK" w:hAnsi="方正仿宋_GBK" w:eastAsia="方正仿宋_GBK" w:cs="方正仿宋_GBK"/>
          <w:sz w:val="32"/>
          <w:szCs w:val="32"/>
          <w:shd w:val="clear" w:color="auto" w:fill="FFFFFF"/>
        </w:rPr>
        <w:t>较上年支出数增加0.1</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万元，增加25%，主要原因是</w:t>
      </w:r>
      <w:r>
        <w:rPr>
          <w:rFonts w:ascii="方正仿宋_GBK" w:eastAsia="方正仿宋_GBK"/>
          <w:sz w:val="32"/>
          <w:szCs w:val="32"/>
        </w:rPr>
        <w:t>本年公务接待实际费用较上年有所增加。</w:t>
      </w:r>
    </w:p>
    <w:p>
      <w:pPr>
        <w:widowControl w:val="0"/>
        <w:overflowPunct w:val="0"/>
        <w:topLinePunct/>
        <w:spacing w:line="579" w:lineRule="exact"/>
        <w:jc w:val="both"/>
        <w:rPr>
          <w:rFonts w:hint="default" w:ascii="方正楷体_GBK" w:hAnsi="楷体" w:eastAsia="方正楷体_GBK" w:cs="楷体"/>
          <w:bCs/>
          <w:sz w:val="32"/>
          <w:szCs w:val="32"/>
          <w:shd w:val="clear" w:color="auto" w:fill="FFFFFF"/>
        </w:rPr>
      </w:pPr>
      <w:r>
        <w:rPr>
          <w:rFonts w:ascii="方正楷体_GBK" w:hAnsi="楷体" w:eastAsia="方正楷体_GBK" w:cs="楷体"/>
          <w:bCs/>
          <w:sz w:val="32"/>
          <w:szCs w:val="32"/>
          <w:shd w:val="clear" w:color="auto" w:fill="FFFFFF"/>
        </w:rPr>
        <w:t>（三）“三公”经费实物量情况</w:t>
      </w:r>
    </w:p>
    <w:p>
      <w:pPr>
        <w:pStyle w:val="6"/>
        <w:snapToGrid w:val="0"/>
        <w:spacing w:before="0" w:beforeAutospacing="0" w:after="0" w:afterAutospacing="0" w:line="579"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2024年度本单位因公出国（境）共计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个团组，</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人；公务用车购置</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辆，公务车保有量为</w:t>
      </w:r>
      <w:r>
        <w:rPr>
          <w:rFonts w:ascii="方正仿宋_GBK" w:hAnsi="方正仿宋_GBK" w:eastAsia="方正仿宋_GBK" w:cs="方正仿宋_GBK"/>
          <w:sz w:val="32"/>
          <w:szCs w:val="32"/>
        </w:rPr>
        <w:t>4</w:t>
      </w:r>
      <w:r>
        <w:rPr>
          <w:rFonts w:ascii="方正仿宋_GBK" w:hAnsi="方正仿宋_GBK" w:eastAsia="方正仿宋_GBK" w:cs="方正仿宋_GBK"/>
          <w:sz w:val="32"/>
          <w:szCs w:val="32"/>
          <w:shd w:val="clear" w:color="auto" w:fill="FFFFFF"/>
        </w:rPr>
        <w:t>辆；国内公务接待</w:t>
      </w:r>
      <w:r>
        <w:rPr>
          <w:rFonts w:ascii="方正仿宋_GBK" w:hAnsi="方正仿宋_GBK" w:eastAsia="方正仿宋_GBK" w:cs="方正仿宋_GBK"/>
          <w:sz w:val="32"/>
          <w:szCs w:val="32"/>
        </w:rPr>
        <w:t>9</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61</w:t>
      </w:r>
      <w:r>
        <w:rPr>
          <w:rFonts w:ascii="方正仿宋_GBK" w:hAnsi="方正仿宋_GBK" w:eastAsia="方正仿宋_GBK" w:cs="方正仿宋_GBK"/>
          <w:sz w:val="32"/>
          <w:szCs w:val="32"/>
          <w:shd w:val="clear" w:color="auto" w:fill="FFFFFF"/>
        </w:rPr>
        <w:t>人，其中：国内外事接待</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人；国（境）外公务接待</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人。2024年本单位人均接待费</w:t>
      </w:r>
      <w:r>
        <w:rPr>
          <w:rFonts w:ascii="方正仿宋_GBK" w:hAnsi="方正仿宋_GBK" w:eastAsia="方正仿宋_GBK" w:cs="方正仿宋_GBK"/>
          <w:sz w:val="32"/>
          <w:szCs w:val="32"/>
        </w:rPr>
        <w:t>81.97</w:t>
      </w:r>
      <w:r>
        <w:rPr>
          <w:rFonts w:ascii="方正仿宋_GBK" w:hAnsi="方正仿宋_GBK" w:eastAsia="方正仿宋_GBK" w:cs="方正仿宋_GBK"/>
          <w:sz w:val="32"/>
          <w:szCs w:val="32"/>
          <w:shd w:val="clear" w:color="auto" w:fill="FFFFFF"/>
        </w:rPr>
        <w:t>元，车均购置费</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万元，车均维护费</w:t>
      </w:r>
      <w:r>
        <w:rPr>
          <w:rFonts w:ascii="方正仿宋_GBK" w:hAnsi="方正仿宋_GBK" w:eastAsia="方正仿宋_GBK" w:cs="方正仿宋_GBK"/>
          <w:sz w:val="32"/>
          <w:szCs w:val="32"/>
        </w:rPr>
        <w:t>2.5</w:t>
      </w:r>
      <w:r>
        <w:rPr>
          <w:rFonts w:ascii="方正仿宋_GBK" w:hAnsi="方正仿宋_GBK" w:eastAsia="方正仿宋_GBK" w:cs="方正仿宋_GBK"/>
          <w:sz w:val="32"/>
          <w:szCs w:val="32"/>
          <w:shd w:val="clear" w:color="auto" w:fill="FFFFFF"/>
        </w:rPr>
        <w:t>万元。</w:t>
      </w:r>
    </w:p>
    <w:p>
      <w:pPr>
        <w:pStyle w:val="6"/>
        <w:shd w:val="clear" w:color="auto" w:fill="FFFFFF"/>
        <w:spacing w:before="0" w:beforeAutospacing="0" w:after="0" w:afterAutospacing="0" w:line="579" w:lineRule="exact"/>
        <w:jc w:val="both"/>
        <w:rPr>
          <w:rStyle w:val="10"/>
          <w:rFonts w:hint="default" w:ascii="方正黑体_GBK" w:hAnsi="方正仿宋_GBK" w:eastAsia="方正黑体_GBK" w:cs="方正仿宋_GBK"/>
          <w:b w:val="0"/>
          <w:sz w:val="32"/>
          <w:szCs w:val="32"/>
          <w:shd w:val="clear" w:color="auto" w:fill="FFFFFF"/>
        </w:rPr>
      </w:pPr>
      <w:r>
        <w:rPr>
          <w:rStyle w:val="10"/>
          <w:rFonts w:ascii="方正黑体_GBK" w:hAnsi="黑体" w:eastAsia="方正黑体_GBK" w:cs="黑体"/>
          <w:b w:val="0"/>
          <w:sz w:val="32"/>
          <w:szCs w:val="32"/>
          <w:shd w:val="clear" w:color="auto" w:fill="FFFFFF"/>
        </w:rPr>
        <w:t>四、其他需要说明的事项</w:t>
      </w:r>
    </w:p>
    <w:p>
      <w:pPr>
        <w:pStyle w:val="11"/>
        <w:autoSpaceDE w:val="0"/>
        <w:spacing w:line="579" w:lineRule="exact"/>
        <w:ind w:firstLine="0" w:firstLineChars="0"/>
        <w:jc w:val="both"/>
        <w:rPr>
          <w:rFonts w:ascii="方正楷体_GBK" w:hAnsi="楷体" w:eastAsia="方正楷体_GBK" w:cs="楷体"/>
          <w:bCs/>
          <w:sz w:val="32"/>
          <w:szCs w:val="32"/>
          <w:shd w:val="clear" w:color="auto" w:fill="FFFFFF"/>
        </w:rPr>
      </w:pPr>
      <w:r>
        <w:rPr>
          <w:rFonts w:hint="eastAsia" w:ascii="方正楷体_GBK" w:hAnsi="楷体" w:eastAsia="方正楷体_GBK" w:cs="楷体"/>
          <w:bCs/>
          <w:sz w:val="32"/>
          <w:szCs w:val="32"/>
          <w:shd w:val="clear" w:color="auto" w:fill="FFFFFF"/>
        </w:rPr>
        <w:t>（一）财政拨款会议费和培训费情况说明</w:t>
      </w:r>
    </w:p>
    <w:p>
      <w:pPr>
        <w:pStyle w:val="6"/>
        <w:snapToGrid w:val="0"/>
        <w:spacing w:before="0" w:beforeAutospacing="0" w:after="0" w:afterAutospacing="0" w:line="579" w:lineRule="exact"/>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 xml:space="preserve">  </w:t>
      </w:r>
      <w:bookmarkStart w:id="12" w:name="OLE_LINK13"/>
      <w:bookmarkStart w:id="13" w:name="OLE_LINK14"/>
      <w:r>
        <w:rPr>
          <w:rFonts w:ascii="方正仿宋_GBK" w:hAnsi="方正仿宋_GBK" w:eastAsia="方正仿宋_GBK" w:cs="方正仿宋_GBK"/>
          <w:sz w:val="32"/>
          <w:szCs w:val="32"/>
          <w:shd w:val="clear" w:color="auto" w:fill="FFFFFF"/>
        </w:rPr>
        <w:t xml:space="preserve"> 本年度会议费支出</w:t>
      </w:r>
      <w:bookmarkStart w:id="14" w:name="OLE_LINK16"/>
      <w:bookmarkStart w:id="15" w:name="OLE_LINK15"/>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bookmarkEnd w:id="14"/>
      <w:bookmarkEnd w:id="15"/>
      <w:r>
        <w:rPr>
          <w:rFonts w:ascii="方正仿宋_GBK" w:hAnsi="方正仿宋_GBK" w:eastAsia="方正仿宋_GBK" w:cs="方正仿宋_GBK"/>
          <w:sz w:val="32"/>
          <w:szCs w:val="32"/>
          <w:shd w:val="clear" w:color="auto" w:fill="FFFFFF"/>
        </w:rPr>
        <w:t>，较上年决算数无增减，主要原因是本单位2024年度未发生会议费用支出。 </w:t>
      </w:r>
    </w:p>
    <w:bookmarkEnd w:id="12"/>
    <w:bookmarkEnd w:id="13"/>
    <w:p>
      <w:pPr>
        <w:widowControl w:val="0"/>
        <w:overflowPunct w:val="0"/>
        <w:topLinePunct/>
        <w:spacing w:line="579" w:lineRule="exact"/>
        <w:jc w:val="both"/>
        <w:rPr>
          <w:rFonts w:hint="default" w:ascii="方正仿宋_GBK" w:eastAsia="方正仿宋_GBK"/>
          <w:sz w:val="32"/>
          <w:szCs w:val="32"/>
        </w:rPr>
      </w:pPr>
      <w:r>
        <w:rPr>
          <w:rFonts w:ascii="方正仿宋_GBK" w:hAnsi="方正仿宋_GBK" w:eastAsia="方正仿宋_GBK" w:cs="方正仿宋_GBK"/>
          <w:sz w:val="32"/>
          <w:szCs w:val="32"/>
          <w:shd w:val="clear" w:color="auto" w:fill="FFFFFF"/>
        </w:rPr>
        <w:t xml:space="preserve">    本年度培训费支出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万元万元，较上年决算数减少3.03万元，减少100.00%，主要原因是</w:t>
      </w:r>
      <w:r>
        <w:rPr>
          <w:rFonts w:ascii="方正仿宋_GBK" w:eastAsia="方正仿宋_GBK"/>
          <w:sz w:val="32"/>
          <w:szCs w:val="32"/>
        </w:rPr>
        <w:t>我单位本年在财政拨款经费里未开支培训费。</w:t>
      </w:r>
    </w:p>
    <w:p>
      <w:pPr>
        <w:pStyle w:val="11"/>
        <w:autoSpaceDE w:val="0"/>
        <w:spacing w:line="579" w:lineRule="exact"/>
        <w:ind w:firstLine="0" w:firstLineChars="0"/>
        <w:jc w:val="both"/>
        <w:rPr>
          <w:rFonts w:ascii="方正楷体_GBK" w:hAnsi="楷体" w:eastAsia="方正楷体_GBK" w:cs="楷体"/>
          <w:bCs/>
          <w:sz w:val="32"/>
          <w:szCs w:val="32"/>
          <w:shd w:val="clear" w:color="auto" w:fill="FFFFFF"/>
        </w:rPr>
      </w:pPr>
      <w:r>
        <w:rPr>
          <w:rFonts w:hint="eastAsia" w:ascii="方正楷体_GBK" w:hAnsi="楷体" w:eastAsia="方正楷体_GBK" w:cs="楷体"/>
          <w:bCs/>
          <w:sz w:val="32"/>
          <w:szCs w:val="32"/>
          <w:shd w:val="clear" w:color="auto" w:fill="FFFFFF"/>
        </w:rPr>
        <w:t>（二）机关运行经费情况说明</w:t>
      </w:r>
    </w:p>
    <w:p>
      <w:pPr>
        <w:widowControl w:val="0"/>
        <w:overflowPunct w:val="0"/>
        <w:topLinePunct/>
        <w:spacing w:line="579" w:lineRule="exact"/>
        <w:ind w:firstLine="640" w:firstLineChars="200"/>
        <w:jc w:val="both"/>
        <w:rPr>
          <w:rFonts w:hint="default" w:ascii="方正仿宋_GBK" w:eastAsia="方正仿宋_GBK"/>
          <w:sz w:val="32"/>
          <w:szCs w:val="32"/>
        </w:rPr>
      </w:pPr>
      <w:r>
        <w:rPr>
          <w:rFonts w:ascii="方正仿宋_GBK" w:eastAsia="方正仿宋_GBK"/>
          <w:sz w:val="32"/>
          <w:szCs w:val="32"/>
        </w:rPr>
        <w:t xml:space="preserve">按照部门决算列报口径，我单位不在机关运行经费统计范围之内。 </w:t>
      </w:r>
    </w:p>
    <w:p>
      <w:pPr>
        <w:pStyle w:val="11"/>
        <w:autoSpaceDE w:val="0"/>
        <w:spacing w:line="579" w:lineRule="exact"/>
        <w:ind w:firstLine="0" w:firstLineChars="0"/>
        <w:jc w:val="both"/>
        <w:rPr>
          <w:rFonts w:ascii="方正楷体_GBK" w:hAnsi="楷体" w:eastAsia="方正楷体_GBK" w:cs="楷体"/>
          <w:bCs/>
          <w:sz w:val="32"/>
          <w:szCs w:val="32"/>
          <w:shd w:val="clear" w:color="auto" w:fill="FFFFFF"/>
        </w:rPr>
      </w:pPr>
      <w:r>
        <w:rPr>
          <w:rFonts w:hint="eastAsia" w:ascii="方正楷体_GBK" w:hAnsi="楷体" w:eastAsia="方正楷体_GBK" w:cs="楷体"/>
          <w:bCs/>
          <w:sz w:val="32"/>
          <w:szCs w:val="32"/>
          <w:shd w:val="clear" w:color="auto" w:fill="FFFFFF"/>
        </w:rPr>
        <w:t>（三）国有资产占用情况说明</w:t>
      </w:r>
    </w:p>
    <w:p>
      <w:pPr>
        <w:pStyle w:val="6"/>
        <w:snapToGrid w:val="0"/>
        <w:spacing w:before="0" w:beforeAutospacing="0" w:after="0" w:afterAutospacing="0" w:line="579"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截至2024年12月31日，本单位共有车辆</w:t>
      </w:r>
      <w:r>
        <w:rPr>
          <w:rFonts w:ascii="方正仿宋_GBK" w:hAnsi="方正仿宋_GBK" w:eastAsia="方正仿宋_GBK" w:cs="方正仿宋_GBK"/>
          <w:sz w:val="32"/>
          <w:szCs w:val="32"/>
        </w:rPr>
        <w:t>4</w:t>
      </w:r>
      <w:r>
        <w:rPr>
          <w:rFonts w:ascii="方正仿宋_GBK" w:hAnsi="方正仿宋_GBK" w:eastAsia="方正仿宋_GBK" w:cs="方正仿宋_GBK"/>
          <w:sz w:val="32"/>
          <w:szCs w:val="32"/>
          <w:shd w:val="clear" w:color="auto" w:fill="FFFFFF"/>
        </w:rPr>
        <w:t>辆，其中，副部（省）级及以上领导用车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辆、主要负责人用车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辆、机要通信用车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辆、应急保障用车</w:t>
      </w:r>
      <w:r>
        <w:rPr>
          <w:rFonts w:ascii="方正仿宋_GBK" w:hAnsi="方正仿宋_GBK" w:eastAsia="方正仿宋_GBK" w:cs="方正仿宋_GBK"/>
          <w:sz w:val="32"/>
          <w:szCs w:val="32"/>
        </w:rPr>
        <w:t>2</w:t>
      </w:r>
      <w:r>
        <w:rPr>
          <w:rFonts w:ascii="方正仿宋_GBK" w:hAnsi="方正仿宋_GBK" w:eastAsia="方正仿宋_GBK" w:cs="方正仿宋_GBK"/>
          <w:sz w:val="32"/>
          <w:szCs w:val="32"/>
          <w:shd w:val="clear" w:color="auto" w:fill="FFFFFF"/>
        </w:rPr>
        <w:t>辆、执法执勤用车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辆，特种专业技术用车</w:t>
      </w:r>
      <w:r>
        <w:rPr>
          <w:rFonts w:ascii="方正仿宋_GBK" w:hAnsi="方正仿宋_GBK" w:eastAsia="方正仿宋_GBK" w:cs="方正仿宋_GBK"/>
          <w:sz w:val="32"/>
          <w:szCs w:val="32"/>
        </w:rPr>
        <w:t>2</w:t>
      </w:r>
      <w:r>
        <w:rPr>
          <w:rFonts w:ascii="方正仿宋_GBK" w:hAnsi="方正仿宋_GBK" w:eastAsia="方正仿宋_GBK" w:cs="方正仿宋_GBK"/>
          <w:sz w:val="32"/>
          <w:szCs w:val="32"/>
          <w:shd w:val="clear" w:color="auto" w:fill="FFFFFF"/>
        </w:rPr>
        <w:t>辆，离退休干部用车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辆。单价100万元（含）以上专用设备</w:t>
      </w:r>
      <w:r>
        <w:rPr>
          <w:rFonts w:ascii="方正仿宋_GBK" w:hAnsi="方正仿宋_GBK" w:eastAsia="方正仿宋_GBK" w:cs="方正仿宋_GBK"/>
          <w:sz w:val="32"/>
          <w:szCs w:val="32"/>
        </w:rPr>
        <w:t>2</w:t>
      </w:r>
      <w:r>
        <w:rPr>
          <w:rFonts w:ascii="方正仿宋_GBK" w:hAnsi="方正仿宋_GBK" w:eastAsia="方正仿宋_GBK" w:cs="方正仿宋_GBK"/>
          <w:sz w:val="32"/>
          <w:szCs w:val="32"/>
          <w:shd w:val="clear" w:color="auto" w:fill="FFFFFF"/>
        </w:rPr>
        <w:t>台（套）。</w:t>
      </w:r>
    </w:p>
    <w:p>
      <w:pPr>
        <w:pStyle w:val="11"/>
        <w:autoSpaceDE w:val="0"/>
        <w:spacing w:line="579" w:lineRule="exact"/>
        <w:ind w:firstLine="0" w:firstLineChars="0"/>
        <w:jc w:val="both"/>
        <w:rPr>
          <w:rFonts w:ascii="方正楷体_GBK" w:hAnsi="楷体" w:eastAsia="方正楷体_GBK" w:cs="楷体"/>
          <w:bCs/>
          <w:sz w:val="32"/>
          <w:szCs w:val="32"/>
          <w:shd w:val="clear" w:color="auto" w:fill="FFFFFF"/>
        </w:rPr>
      </w:pPr>
      <w:r>
        <w:rPr>
          <w:rFonts w:hint="eastAsia" w:ascii="方正楷体_GBK" w:hAnsi="楷体" w:eastAsia="方正楷体_GBK" w:cs="楷体"/>
          <w:bCs/>
          <w:sz w:val="32"/>
          <w:szCs w:val="32"/>
          <w:shd w:val="clear" w:color="auto" w:fill="FFFFFF"/>
        </w:rPr>
        <w:t>（四）政府采购支出情况说明</w:t>
      </w:r>
    </w:p>
    <w:p>
      <w:pPr>
        <w:pStyle w:val="6"/>
        <w:snapToGrid w:val="0"/>
        <w:spacing w:before="0" w:beforeAutospacing="0" w:after="0" w:afterAutospacing="0" w:line="579" w:lineRule="exact"/>
        <w:ind w:firstLine="480" w:firstLineChars="150"/>
        <w:jc w:val="both"/>
        <w:rPr>
          <w:rFonts w:hint="default"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2024年度本单位政府采购支出总额</w:t>
      </w:r>
      <w:r>
        <w:rPr>
          <w:rFonts w:ascii="方正仿宋_GBK" w:hAnsi="方正仿宋_GBK" w:eastAsia="方正仿宋_GBK" w:cs="方正仿宋_GBK"/>
          <w:sz w:val="32"/>
          <w:szCs w:val="32"/>
        </w:rPr>
        <w:t>592.10</w:t>
      </w:r>
      <w:r>
        <w:rPr>
          <w:rFonts w:ascii="方正仿宋_GBK" w:hAnsi="方正仿宋_GBK" w:eastAsia="方正仿宋_GBK" w:cs="方正仿宋_GBK"/>
          <w:sz w:val="32"/>
          <w:szCs w:val="32"/>
          <w:shd w:val="clear" w:color="auto" w:fill="FFFFFF"/>
        </w:rPr>
        <w:t>万元，其中：政府采购货物支出</w:t>
      </w:r>
      <w:r>
        <w:rPr>
          <w:rFonts w:ascii="方正仿宋_GBK" w:hAnsi="方正仿宋_GBK" w:eastAsia="方正仿宋_GBK" w:cs="方正仿宋_GBK"/>
          <w:sz w:val="32"/>
          <w:szCs w:val="32"/>
        </w:rPr>
        <w:t>64.30</w:t>
      </w:r>
      <w:r>
        <w:rPr>
          <w:rFonts w:ascii="方正仿宋_GBK" w:hAnsi="方正仿宋_GBK" w:eastAsia="方正仿宋_GBK" w:cs="方正仿宋_GBK"/>
          <w:sz w:val="32"/>
          <w:szCs w:val="32"/>
          <w:shd w:val="clear" w:color="auto" w:fill="FFFFFF"/>
        </w:rPr>
        <w:t>万元、政府采购工程支出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万元、政府采购服务支出</w:t>
      </w:r>
      <w:r>
        <w:rPr>
          <w:rFonts w:ascii="方正仿宋_GBK" w:hAnsi="方正仿宋_GBK" w:eastAsia="方正仿宋_GBK" w:cs="方正仿宋_GBK"/>
          <w:sz w:val="32"/>
          <w:szCs w:val="32"/>
        </w:rPr>
        <w:t>527.80</w:t>
      </w:r>
      <w:r>
        <w:rPr>
          <w:rFonts w:ascii="方正仿宋_GBK" w:hAnsi="方正仿宋_GBK" w:eastAsia="方正仿宋_GBK" w:cs="方正仿宋_GBK"/>
          <w:sz w:val="32"/>
          <w:szCs w:val="32"/>
          <w:shd w:val="clear" w:color="auto" w:fill="FFFFFF"/>
        </w:rPr>
        <w:t>万元。授予中小企业合同金额</w:t>
      </w:r>
      <w:r>
        <w:rPr>
          <w:rFonts w:ascii="方正仿宋_GBK" w:hAnsi="方正仿宋_GBK" w:eastAsia="方正仿宋_GBK" w:cs="方正仿宋_GBK"/>
          <w:sz w:val="32"/>
          <w:szCs w:val="32"/>
        </w:rPr>
        <w:t>264.10万</w:t>
      </w:r>
      <w:r>
        <w:rPr>
          <w:rFonts w:ascii="方正仿宋_GBK" w:hAnsi="方正仿宋_GBK" w:eastAsia="方正仿宋_GBK" w:cs="方正仿宋_GBK"/>
          <w:sz w:val="32"/>
          <w:szCs w:val="32"/>
          <w:shd w:val="clear" w:color="auto" w:fill="FFFFFF"/>
        </w:rPr>
        <w:t>元，占政府采购支出总额的</w:t>
      </w:r>
      <w:r>
        <w:rPr>
          <w:rFonts w:ascii="方正仿宋_GBK" w:hAnsi="方正仿宋_GBK" w:eastAsia="方正仿宋_GBK" w:cs="方正仿宋_GBK"/>
          <w:sz w:val="32"/>
          <w:szCs w:val="32"/>
        </w:rPr>
        <w:t>44.60</w:t>
      </w:r>
      <w:r>
        <w:rPr>
          <w:rFonts w:ascii="方正仿宋_GBK" w:hAnsi="方正仿宋_GBK" w:eastAsia="方正仿宋_GBK" w:cs="方正仿宋_GBK"/>
          <w:sz w:val="32"/>
          <w:szCs w:val="32"/>
          <w:shd w:val="clear" w:color="auto" w:fill="FFFFFF"/>
        </w:rPr>
        <w:t>%，其中：授予小微企业合同金额</w:t>
      </w:r>
      <w:r>
        <w:rPr>
          <w:rFonts w:ascii="方正仿宋_GBK" w:hAnsi="方正仿宋_GBK" w:eastAsia="方正仿宋_GBK" w:cs="方正仿宋_GBK"/>
          <w:sz w:val="32"/>
          <w:szCs w:val="32"/>
        </w:rPr>
        <w:t>42.30</w:t>
      </w:r>
      <w:r>
        <w:rPr>
          <w:rFonts w:ascii="方正仿宋_GBK" w:hAnsi="方正仿宋_GBK" w:eastAsia="方正仿宋_GBK" w:cs="方正仿宋_GBK"/>
          <w:sz w:val="32"/>
          <w:szCs w:val="32"/>
          <w:shd w:val="clear" w:color="auto" w:fill="FFFFFF"/>
        </w:rPr>
        <w:t>万元，占政府采购支出总额的</w:t>
      </w:r>
      <w:r>
        <w:rPr>
          <w:rFonts w:ascii="方正仿宋_GBK" w:hAnsi="方正仿宋_GBK" w:eastAsia="方正仿宋_GBK" w:cs="方正仿宋_GBK"/>
          <w:sz w:val="32"/>
          <w:szCs w:val="32"/>
        </w:rPr>
        <w:t>7.14</w:t>
      </w:r>
      <w:r>
        <w:rPr>
          <w:rFonts w:ascii="方正仿宋_GBK" w:hAnsi="方正仿宋_GBK" w:eastAsia="方正仿宋_GBK" w:cs="方正仿宋_GBK"/>
          <w:sz w:val="32"/>
          <w:szCs w:val="32"/>
          <w:shd w:val="clear" w:color="auto" w:fill="FFFFFF"/>
        </w:rPr>
        <w:t>%。主要用于采购荧光光度计和环境监测能力建设达标项目的仪器配置。</w:t>
      </w:r>
    </w:p>
    <w:p>
      <w:pPr>
        <w:pStyle w:val="6"/>
        <w:widowControl w:val="0"/>
        <w:numPr>
          <w:ilvl w:val="0"/>
          <w:numId w:val="1"/>
        </w:numPr>
        <w:shd w:val="clear" w:color="auto" w:fill="FFFFFF"/>
        <w:spacing w:before="0" w:beforeAutospacing="0" w:after="0" w:afterAutospacing="0" w:line="579" w:lineRule="exact"/>
        <w:jc w:val="both"/>
        <w:rPr>
          <w:rStyle w:val="10"/>
          <w:rFonts w:hint="default" w:ascii="方正黑体_GBK" w:hAnsi="黑体" w:eastAsia="方正黑体_GBK" w:cs="黑体"/>
          <w:b w:val="0"/>
          <w:sz w:val="32"/>
          <w:szCs w:val="32"/>
          <w:shd w:val="clear" w:color="auto" w:fill="FFFFFF"/>
        </w:rPr>
      </w:pPr>
      <w:r>
        <w:rPr>
          <w:rStyle w:val="10"/>
          <w:rFonts w:ascii="方正黑体_GBK" w:hAnsi="黑体" w:eastAsia="方正黑体_GBK" w:cs="黑体"/>
          <w:b w:val="0"/>
          <w:sz w:val="32"/>
          <w:szCs w:val="32"/>
          <w:shd w:val="clear" w:color="auto" w:fill="FFFFFF"/>
        </w:rPr>
        <w:t>预算绩效管理情况说明</w:t>
      </w:r>
    </w:p>
    <w:p>
      <w:pPr>
        <w:pStyle w:val="11"/>
        <w:widowControl w:val="0"/>
        <w:autoSpaceDE w:val="0"/>
        <w:spacing w:line="579" w:lineRule="exact"/>
        <w:ind w:firstLine="0" w:firstLineChars="0"/>
        <w:jc w:val="both"/>
        <w:rPr>
          <w:rFonts w:ascii="方正楷体_GBK" w:hAnsi="楷体" w:eastAsia="方正楷体_GBK" w:cs="楷体"/>
          <w:bCs/>
          <w:sz w:val="32"/>
          <w:szCs w:val="32"/>
          <w:shd w:val="clear" w:color="auto" w:fill="FFFFFF"/>
        </w:rPr>
      </w:pPr>
      <w:r>
        <w:rPr>
          <w:rFonts w:hint="eastAsia" w:ascii="方正楷体_GBK" w:hAnsi="楷体" w:eastAsia="方正楷体_GBK" w:cs="楷体"/>
          <w:bCs/>
          <w:sz w:val="32"/>
          <w:szCs w:val="32"/>
          <w:shd w:val="clear" w:color="auto" w:fill="FFFFFF"/>
        </w:rPr>
        <w:t>（一）单位自评情况</w:t>
      </w:r>
    </w:p>
    <w:p>
      <w:pPr>
        <w:pStyle w:val="12"/>
        <w:widowControl w:val="0"/>
        <w:autoSpaceDE w:val="0"/>
        <w:spacing w:before="0" w:beforeAutospacing="0" w:after="0" w:afterAutospacing="0" w:line="579" w:lineRule="exact"/>
        <w:ind w:firstLine="640" w:firstLineChars="200"/>
        <w:jc w:val="both"/>
        <w:rPr>
          <w:rFonts w:ascii="方正仿宋_GBK" w:eastAsia="方正仿宋_GBK" w:cs="宋体"/>
          <w:sz w:val="32"/>
          <w:szCs w:val="32"/>
          <w:highlight w:val="yellow"/>
        </w:rPr>
      </w:pPr>
      <w:r>
        <w:rPr>
          <w:rFonts w:hint="eastAsia" w:ascii="方正仿宋_GBK" w:hAnsi="方正仿宋_GBK" w:eastAsia="方正仿宋_GBK" w:cs="方正仿宋_GBK"/>
          <w:sz w:val="32"/>
          <w:szCs w:val="32"/>
          <w:shd w:val="clear" w:color="auto" w:fill="FFFFFF"/>
        </w:rPr>
        <w:t>根据预算绩效管理要求，我单位对1个项目开展了绩效自评。（见附表）</w:t>
      </w:r>
    </w:p>
    <w:p>
      <w:pPr>
        <w:pStyle w:val="11"/>
        <w:widowControl w:val="0"/>
        <w:numPr>
          <w:ilvl w:val="0"/>
          <w:numId w:val="2"/>
        </w:numPr>
        <w:autoSpaceDE w:val="0"/>
        <w:spacing w:line="579" w:lineRule="exact"/>
        <w:ind w:firstLineChars="0"/>
        <w:jc w:val="both"/>
        <w:rPr>
          <w:rFonts w:ascii="方正楷体_GBK" w:hAnsi="楷体" w:eastAsia="方正楷体_GBK" w:cs="楷体"/>
          <w:bCs/>
          <w:sz w:val="32"/>
          <w:szCs w:val="32"/>
          <w:shd w:val="clear" w:color="auto" w:fill="FFFFFF"/>
        </w:rPr>
      </w:pPr>
      <w:r>
        <w:rPr>
          <w:rFonts w:hint="eastAsia" w:ascii="方正楷体_GBK" w:hAnsi="楷体" w:eastAsia="方正楷体_GBK" w:cs="楷体"/>
          <w:bCs/>
          <w:sz w:val="32"/>
          <w:szCs w:val="32"/>
          <w:shd w:val="clear" w:color="auto" w:fill="FFFFFF"/>
        </w:rPr>
        <w:t>单位绩效评价情况</w:t>
      </w:r>
    </w:p>
    <w:p>
      <w:pPr>
        <w:pStyle w:val="14"/>
        <w:widowControl w:val="0"/>
        <w:autoSpaceDE w:val="0"/>
        <w:spacing w:line="579" w:lineRule="exact"/>
        <w:ind w:firstLine="640"/>
        <w:jc w:val="both"/>
        <w:rPr>
          <w:rFonts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我单位没有委托第三方开展绩效评价。</w:t>
      </w:r>
    </w:p>
    <w:p>
      <w:pPr>
        <w:pStyle w:val="11"/>
        <w:widowControl w:val="0"/>
        <w:numPr>
          <w:ilvl w:val="0"/>
          <w:numId w:val="2"/>
        </w:numPr>
        <w:autoSpaceDE w:val="0"/>
        <w:spacing w:line="579" w:lineRule="exact"/>
        <w:ind w:firstLineChars="0"/>
        <w:jc w:val="both"/>
        <w:rPr>
          <w:rFonts w:ascii="方正楷体_GBK" w:hAnsi="楷体" w:eastAsia="方正楷体_GBK" w:cs="楷体"/>
          <w:bCs/>
          <w:sz w:val="32"/>
          <w:szCs w:val="32"/>
          <w:shd w:val="clear" w:color="auto" w:fill="FFFFFF"/>
        </w:rPr>
      </w:pPr>
      <w:r>
        <w:rPr>
          <w:rFonts w:hint="eastAsia" w:ascii="方正楷体_GBK" w:hAnsi="楷体" w:eastAsia="方正楷体_GBK" w:cs="楷体"/>
          <w:bCs/>
          <w:sz w:val="32"/>
          <w:szCs w:val="32"/>
          <w:shd w:val="clear" w:color="auto" w:fill="FFFFFF"/>
        </w:rPr>
        <w:t>财政绩效评价情况</w:t>
      </w:r>
    </w:p>
    <w:p>
      <w:pPr>
        <w:pStyle w:val="14"/>
        <w:widowControl w:val="0"/>
        <w:autoSpaceDE w:val="0"/>
        <w:spacing w:line="579" w:lineRule="exact"/>
        <w:ind w:firstLine="640"/>
        <w:jc w:val="both"/>
        <w:rPr>
          <w:rFonts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区财政局未委托第三方（或政府委派财务总监）对我单位开展绩效评价。</w:t>
      </w:r>
    </w:p>
    <w:p>
      <w:pPr>
        <w:pStyle w:val="6"/>
        <w:shd w:val="clear" w:color="auto" w:fill="FFFFFF"/>
        <w:spacing w:before="0" w:beforeAutospacing="0" w:after="0" w:afterAutospacing="0" w:line="579" w:lineRule="exact"/>
        <w:jc w:val="both"/>
        <w:rPr>
          <w:rStyle w:val="10"/>
          <w:rFonts w:hint="default" w:ascii="方正黑体_GBK" w:hAnsi="方正仿宋_GBK" w:eastAsia="方正黑体_GBK" w:cs="方正仿宋_GBK"/>
          <w:b w:val="0"/>
          <w:sz w:val="32"/>
          <w:szCs w:val="32"/>
          <w:shd w:val="clear" w:color="auto" w:fill="FFFFFF"/>
        </w:rPr>
      </w:pPr>
      <w:r>
        <w:rPr>
          <w:rStyle w:val="10"/>
          <w:rFonts w:ascii="方正黑体_GBK" w:hAnsi="黑体" w:eastAsia="方正黑体_GBK" w:cs="黑体"/>
          <w:b w:val="0"/>
          <w:sz w:val="32"/>
          <w:szCs w:val="32"/>
          <w:shd w:val="clear" w:color="auto" w:fill="FFFFFF"/>
        </w:rPr>
        <w:t>六、专业名词解释</w:t>
      </w:r>
    </w:p>
    <w:p>
      <w:pPr>
        <w:pStyle w:val="6"/>
        <w:snapToGrid w:val="0"/>
        <w:spacing w:before="0" w:beforeAutospacing="0" w:after="0" w:afterAutospacing="0" w:line="579" w:lineRule="exact"/>
        <w:jc w:val="both"/>
        <w:rPr>
          <w:rFonts w:hint="default" w:ascii="方正仿宋_GBK" w:hAnsi="方正仿宋_GBK" w:eastAsia="方正仿宋_GBK" w:cs="方正仿宋_GBK"/>
          <w:sz w:val="32"/>
          <w:szCs w:val="32"/>
        </w:rPr>
      </w:pPr>
      <w:r>
        <w:rPr>
          <w:rFonts w:ascii="方正楷体_GBK" w:hAnsi="楷体" w:eastAsia="方正楷体_GBK" w:cs="楷体"/>
          <w:bCs/>
          <w:sz w:val="32"/>
          <w:szCs w:val="32"/>
          <w:shd w:val="clear" w:color="auto" w:fill="FFFFFF"/>
        </w:rPr>
        <w:t>（一）财政拨款收入：</w:t>
      </w:r>
      <w:r>
        <w:rPr>
          <w:rFonts w:ascii="方正仿宋_GBK" w:hAnsi="方正仿宋_GBK" w:eastAsia="方正仿宋_GBK" w:cs="方正仿宋_GBK"/>
          <w:sz w:val="32"/>
          <w:szCs w:val="32"/>
          <w:shd w:val="clear" w:color="auto" w:fill="FFFFFF"/>
        </w:rPr>
        <w:t>指本年度从本级财政部门取得的财政拨款，包括一般公共预算财政拨款和政府性基金预算财政拨款。</w:t>
      </w:r>
    </w:p>
    <w:p>
      <w:pPr>
        <w:pStyle w:val="6"/>
        <w:snapToGrid w:val="0"/>
        <w:spacing w:before="0" w:beforeAutospacing="0" w:after="0" w:afterAutospacing="0" w:line="579" w:lineRule="exact"/>
        <w:jc w:val="both"/>
        <w:rPr>
          <w:rFonts w:hint="default" w:ascii="方正仿宋_GBK" w:hAnsi="方正仿宋_GBK" w:eastAsia="方正仿宋_GBK" w:cs="方正仿宋_GBK"/>
          <w:sz w:val="32"/>
          <w:szCs w:val="32"/>
        </w:rPr>
      </w:pPr>
      <w:r>
        <w:rPr>
          <w:rStyle w:val="10"/>
          <w:rFonts w:ascii="方正楷体_GBK" w:hAnsi="楷体" w:eastAsia="方正楷体_GBK" w:cs="楷体"/>
          <w:b w:val="0"/>
          <w:sz w:val="32"/>
          <w:szCs w:val="32"/>
          <w:shd w:val="clear" w:color="auto" w:fill="FFFFFF"/>
        </w:rPr>
        <w:t>（二）其他收入</w:t>
      </w:r>
      <w:r>
        <w:rPr>
          <w:rFonts w:ascii="方正楷体_GBK" w:hAnsi="楷体" w:eastAsia="方正楷体_GBK" w:cs="楷体"/>
          <w:b/>
          <w:sz w:val="32"/>
          <w:szCs w:val="32"/>
          <w:shd w:val="clear" w:color="auto" w:fill="FFFFFF"/>
        </w:rPr>
        <w:t>：</w:t>
      </w:r>
      <w:r>
        <w:rPr>
          <w:rFonts w:ascii="方正仿宋_GBK" w:hAnsi="方正仿宋_GBK" w:eastAsia="方正仿宋_GBK" w:cs="方正仿宋_GBK"/>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6"/>
        <w:snapToGrid w:val="0"/>
        <w:spacing w:before="0" w:beforeAutospacing="0" w:after="0" w:afterAutospacing="0" w:line="579" w:lineRule="exact"/>
        <w:jc w:val="both"/>
        <w:rPr>
          <w:rFonts w:hint="default" w:ascii="方正仿宋_GBK" w:hAnsi="方正仿宋_GBK" w:eastAsia="方正仿宋_GBK" w:cs="方正仿宋_GBK"/>
          <w:sz w:val="32"/>
          <w:szCs w:val="32"/>
        </w:rPr>
      </w:pPr>
      <w:r>
        <w:rPr>
          <w:rStyle w:val="10"/>
          <w:rFonts w:ascii="方正楷体_GBK" w:hAnsi="楷体" w:eastAsia="方正楷体_GBK" w:cs="楷体"/>
          <w:b w:val="0"/>
          <w:sz w:val="32"/>
          <w:szCs w:val="32"/>
          <w:shd w:val="clear" w:color="auto" w:fill="FFFFFF"/>
        </w:rPr>
        <w:t>（三）年初结转和结余</w:t>
      </w:r>
      <w:r>
        <w:rPr>
          <w:rFonts w:ascii="方正楷体_GBK" w:hAnsi="楷体" w:eastAsia="方正楷体_GBK" w:cs="楷体"/>
          <w:b/>
          <w:sz w:val="32"/>
          <w:szCs w:val="32"/>
          <w:shd w:val="clear" w:color="auto" w:fill="FFFFFF"/>
        </w:rPr>
        <w:t>：</w:t>
      </w:r>
      <w:r>
        <w:rPr>
          <w:rFonts w:ascii="方正仿宋_GBK" w:hAnsi="方正仿宋_GBK" w:eastAsia="方正仿宋_GBK" w:cs="方正仿宋_GBK"/>
          <w:sz w:val="32"/>
          <w:szCs w:val="32"/>
          <w:shd w:val="clear" w:color="auto" w:fill="FFFFFF"/>
        </w:rPr>
        <w:t>指单位上年结转本年使用的基本支出结转、项目支出结转和结余、经营结余。</w:t>
      </w:r>
    </w:p>
    <w:p>
      <w:pPr>
        <w:pStyle w:val="6"/>
        <w:snapToGrid w:val="0"/>
        <w:spacing w:before="0" w:beforeAutospacing="0" w:after="0" w:afterAutospacing="0" w:line="579" w:lineRule="exact"/>
        <w:jc w:val="both"/>
        <w:rPr>
          <w:rFonts w:hint="default" w:ascii="方正仿宋_GBK" w:hAnsi="方正仿宋_GBK" w:eastAsia="方正仿宋_GBK" w:cs="方正仿宋_GBK"/>
          <w:sz w:val="32"/>
          <w:szCs w:val="32"/>
        </w:rPr>
      </w:pPr>
      <w:r>
        <w:rPr>
          <w:rStyle w:val="10"/>
          <w:rFonts w:ascii="方正楷体_GBK" w:hAnsi="楷体" w:eastAsia="方正楷体_GBK" w:cs="楷体"/>
          <w:b w:val="0"/>
          <w:sz w:val="32"/>
          <w:szCs w:val="32"/>
          <w:shd w:val="clear" w:color="auto" w:fill="FFFFFF"/>
        </w:rPr>
        <w:t>（四）结余分配</w:t>
      </w:r>
      <w:r>
        <w:rPr>
          <w:rFonts w:ascii="方正楷体_GBK" w:hAnsi="楷体" w:eastAsia="方正楷体_GBK" w:cs="楷体"/>
          <w:b/>
          <w:sz w:val="32"/>
          <w:szCs w:val="32"/>
          <w:shd w:val="clear" w:color="auto" w:fill="FFFFFF"/>
        </w:rPr>
        <w:t>：</w:t>
      </w:r>
      <w:r>
        <w:rPr>
          <w:rFonts w:ascii="方正仿宋_GBK" w:hAnsi="方正仿宋_GBK" w:eastAsia="方正仿宋_GBK" w:cs="方正仿宋_GBK"/>
          <w:sz w:val="32"/>
          <w:szCs w:val="32"/>
          <w:shd w:val="clear" w:color="auto" w:fill="FFFFFF"/>
        </w:rPr>
        <w:t>指单位按照国家有关规定，缴纳所得税、提取专用基金、转入非财政拨款结余等当年结余的分配情况。</w:t>
      </w:r>
    </w:p>
    <w:p>
      <w:pPr>
        <w:pStyle w:val="6"/>
        <w:snapToGrid w:val="0"/>
        <w:spacing w:before="0" w:beforeAutospacing="0" w:after="0" w:afterAutospacing="0" w:line="579" w:lineRule="exact"/>
        <w:jc w:val="both"/>
        <w:rPr>
          <w:rFonts w:hint="default" w:ascii="方正仿宋_GBK" w:hAnsi="方正仿宋_GBK" w:eastAsia="方正仿宋_GBK" w:cs="方正仿宋_GBK"/>
          <w:sz w:val="32"/>
          <w:szCs w:val="32"/>
        </w:rPr>
      </w:pPr>
      <w:r>
        <w:rPr>
          <w:rStyle w:val="10"/>
          <w:rFonts w:ascii="方正楷体_GBK" w:hAnsi="楷体" w:eastAsia="方正楷体_GBK" w:cs="楷体"/>
          <w:b w:val="0"/>
          <w:sz w:val="32"/>
          <w:szCs w:val="32"/>
          <w:shd w:val="clear" w:color="auto" w:fill="FFFFFF"/>
        </w:rPr>
        <w:t>（五）年末结转和结余</w:t>
      </w:r>
      <w:r>
        <w:rPr>
          <w:rFonts w:ascii="方正楷体_GBK" w:hAnsi="楷体" w:eastAsia="方正楷体_GBK" w:cs="楷体"/>
          <w:b/>
          <w:sz w:val="32"/>
          <w:szCs w:val="32"/>
          <w:shd w:val="clear" w:color="auto" w:fill="FFFFFF"/>
        </w:rPr>
        <w:t>：</w:t>
      </w:r>
      <w:r>
        <w:rPr>
          <w:rFonts w:ascii="方正仿宋_GBK" w:hAnsi="方正仿宋_GBK" w:eastAsia="方正仿宋_GBK" w:cs="方正仿宋_GBK"/>
          <w:sz w:val="32"/>
          <w:szCs w:val="32"/>
          <w:shd w:val="clear" w:color="auto" w:fill="FFFFFF"/>
        </w:rPr>
        <w:t>指单位结转下年的基本支出结转、项目支出结转和结余、经营结余。</w:t>
      </w:r>
    </w:p>
    <w:p>
      <w:pPr>
        <w:pStyle w:val="6"/>
        <w:snapToGrid w:val="0"/>
        <w:spacing w:before="0" w:beforeAutospacing="0" w:after="0" w:afterAutospacing="0" w:line="579" w:lineRule="exact"/>
        <w:jc w:val="both"/>
        <w:rPr>
          <w:rFonts w:hint="default" w:ascii="方正仿宋_GBK" w:hAnsi="方正仿宋_GBK" w:eastAsia="方正仿宋_GBK" w:cs="方正仿宋_GBK"/>
          <w:sz w:val="32"/>
          <w:szCs w:val="32"/>
        </w:rPr>
      </w:pPr>
      <w:r>
        <w:rPr>
          <w:rStyle w:val="10"/>
          <w:rFonts w:ascii="方正楷体_GBK" w:hAnsi="楷体" w:eastAsia="方正楷体_GBK" w:cs="楷体"/>
          <w:b w:val="0"/>
          <w:sz w:val="32"/>
          <w:szCs w:val="32"/>
          <w:shd w:val="clear" w:color="auto" w:fill="FFFFFF"/>
        </w:rPr>
        <w:t>（六）基本支出</w:t>
      </w:r>
      <w:r>
        <w:rPr>
          <w:rFonts w:ascii="方正楷体_GBK" w:hAnsi="楷体" w:eastAsia="方正楷体_GBK" w:cs="楷体"/>
          <w:b/>
          <w:sz w:val="32"/>
          <w:szCs w:val="32"/>
          <w:shd w:val="clear" w:color="auto" w:fill="FFFFFF"/>
        </w:rPr>
        <w:t>：</w:t>
      </w:r>
      <w:r>
        <w:rPr>
          <w:rFonts w:ascii="方正仿宋_GBK" w:hAnsi="方正仿宋_GBK" w:eastAsia="方正仿宋_GBK" w:cs="方正仿宋_GBK"/>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6"/>
        <w:snapToGrid w:val="0"/>
        <w:spacing w:before="0" w:beforeAutospacing="0" w:after="0" w:afterAutospacing="0" w:line="579" w:lineRule="exact"/>
        <w:jc w:val="both"/>
        <w:rPr>
          <w:rFonts w:hint="default" w:ascii="方正仿宋_GBK" w:hAnsi="方正仿宋_GBK" w:eastAsia="方正仿宋_GBK" w:cs="方正仿宋_GBK"/>
          <w:sz w:val="32"/>
          <w:szCs w:val="32"/>
        </w:rPr>
      </w:pPr>
      <w:r>
        <w:rPr>
          <w:rStyle w:val="10"/>
          <w:rFonts w:ascii="方正楷体_GBK" w:hAnsi="楷体" w:eastAsia="方正楷体_GBK" w:cs="楷体"/>
          <w:b w:val="0"/>
          <w:sz w:val="32"/>
          <w:szCs w:val="32"/>
          <w:shd w:val="clear" w:color="auto" w:fill="FFFFFF"/>
        </w:rPr>
        <w:t>（七）项目支出</w:t>
      </w:r>
      <w:r>
        <w:rPr>
          <w:rFonts w:ascii="方正楷体_GBK" w:hAnsi="楷体" w:eastAsia="方正楷体_GBK" w:cs="楷体"/>
          <w:b/>
          <w:sz w:val="32"/>
          <w:szCs w:val="32"/>
          <w:shd w:val="clear" w:color="auto" w:fill="FFFFFF"/>
        </w:rPr>
        <w:t>：</w:t>
      </w:r>
      <w:r>
        <w:rPr>
          <w:rFonts w:ascii="方正仿宋_GBK" w:hAnsi="方正仿宋_GBK" w:eastAsia="方正仿宋_GBK" w:cs="方正仿宋_GBK"/>
          <w:sz w:val="32"/>
          <w:szCs w:val="32"/>
          <w:shd w:val="clear" w:color="auto" w:fill="FFFFFF"/>
        </w:rPr>
        <w:t>指在基本支出之外为完成特定行政任务和事业发展目标所发生的支出。</w:t>
      </w:r>
    </w:p>
    <w:p>
      <w:pPr>
        <w:pStyle w:val="6"/>
        <w:snapToGrid w:val="0"/>
        <w:spacing w:before="0" w:beforeAutospacing="0" w:after="0" w:afterAutospacing="0" w:line="579" w:lineRule="exact"/>
        <w:jc w:val="both"/>
        <w:rPr>
          <w:rFonts w:hint="default" w:ascii="方正仿宋_GBK" w:hAnsi="方正仿宋_GBK" w:eastAsia="方正仿宋_GBK" w:cs="方正仿宋_GBK"/>
          <w:sz w:val="32"/>
          <w:szCs w:val="32"/>
        </w:rPr>
      </w:pPr>
      <w:r>
        <w:rPr>
          <w:rStyle w:val="10"/>
          <w:rFonts w:ascii="方正楷体_GBK" w:hAnsi="楷体" w:eastAsia="方正楷体_GBK" w:cs="楷体"/>
          <w:b w:val="0"/>
          <w:sz w:val="32"/>
          <w:szCs w:val="32"/>
          <w:shd w:val="clear" w:color="auto" w:fill="FFFFFF"/>
        </w:rPr>
        <w:t>（八）“三公”经费</w:t>
      </w:r>
      <w:r>
        <w:rPr>
          <w:rFonts w:ascii="方正楷体_GBK" w:hAnsi="楷体" w:eastAsia="方正楷体_GBK" w:cs="楷体"/>
          <w:b/>
          <w:sz w:val="32"/>
          <w:szCs w:val="32"/>
          <w:shd w:val="clear" w:color="auto" w:fill="FFFFFF"/>
        </w:rPr>
        <w:t>：</w:t>
      </w:r>
      <w:r>
        <w:rPr>
          <w:rFonts w:ascii="方正仿宋_GBK" w:hAnsi="方正仿宋_GBK" w:eastAsia="方正仿宋_GBK" w:cs="方正仿宋_GBK"/>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6"/>
        <w:snapToGrid w:val="0"/>
        <w:spacing w:before="0" w:beforeAutospacing="0" w:after="0" w:afterAutospacing="0" w:line="579" w:lineRule="exact"/>
        <w:jc w:val="both"/>
        <w:rPr>
          <w:rFonts w:hint="default" w:ascii="方正仿宋_GBK" w:hAnsi="方正仿宋_GBK" w:eastAsia="方正仿宋_GBK" w:cs="方正仿宋_GBK"/>
          <w:sz w:val="32"/>
          <w:szCs w:val="32"/>
        </w:rPr>
      </w:pPr>
      <w:r>
        <w:rPr>
          <w:rStyle w:val="10"/>
          <w:rFonts w:ascii="方正楷体_GBK" w:hAnsi="楷体" w:eastAsia="方正楷体_GBK" w:cs="楷体"/>
          <w:b w:val="0"/>
          <w:sz w:val="32"/>
          <w:szCs w:val="32"/>
          <w:shd w:val="clear" w:color="auto" w:fill="FFFFFF"/>
        </w:rPr>
        <w:t>（九）工资福利支出（支出经济分类科目类级）</w:t>
      </w:r>
      <w:r>
        <w:rPr>
          <w:rFonts w:ascii="方正楷体_GBK" w:hAnsi="楷体" w:eastAsia="方正楷体_GBK" w:cs="楷体"/>
          <w:b/>
          <w:sz w:val="32"/>
          <w:szCs w:val="32"/>
          <w:shd w:val="clear" w:color="auto" w:fill="FFFFFF"/>
        </w:rPr>
        <w:t>：</w:t>
      </w:r>
      <w:r>
        <w:rPr>
          <w:rFonts w:ascii="方正仿宋_GBK" w:hAnsi="方正仿宋_GBK" w:eastAsia="方正仿宋_GBK" w:cs="方正仿宋_GBK"/>
          <w:sz w:val="32"/>
          <w:szCs w:val="32"/>
          <w:shd w:val="clear" w:color="auto" w:fill="FFFFFF"/>
        </w:rPr>
        <w:t>反映单位开支的在职职工和编制外长期聘用人员的各类劳动报酬，以及为上述人员缴纳的各项社会保险费等。</w:t>
      </w:r>
    </w:p>
    <w:p>
      <w:pPr>
        <w:pStyle w:val="6"/>
        <w:snapToGrid w:val="0"/>
        <w:spacing w:before="0" w:beforeAutospacing="0" w:after="0" w:afterAutospacing="0" w:line="579" w:lineRule="exact"/>
        <w:jc w:val="both"/>
        <w:rPr>
          <w:rFonts w:hint="default" w:ascii="方正仿宋_GBK" w:hAnsi="方正仿宋_GBK" w:eastAsia="方正仿宋_GBK" w:cs="方正仿宋_GBK"/>
          <w:sz w:val="32"/>
          <w:szCs w:val="32"/>
        </w:rPr>
      </w:pPr>
      <w:r>
        <w:rPr>
          <w:rStyle w:val="10"/>
          <w:rFonts w:ascii="方正楷体_GBK" w:hAnsi="楷体" w:eastAsia="方正楷体_GBK" w:cs="楷体"/>
          <w:b w:val="0"/>
          <w:sz w:val="32"/>
          <w:szCs w:val="32"/>
          <w:shd w:val="clear" w:color="auto" w:fill="FFFFFF"/>
        </w:rPr>
        <w:t>（十）商品和服务支出（支出经济分类科目类级）</w:t>
      </w:r>
      <w:r>
        <w:rPr>
          <w:rFonts w:ascii="方正楷体_GBK" w:hAnsi="楷体" w:eastAsia="方正楷体_GBK" w:cs="楷体"/>
          <w:b/>
          <w:sz w:val="32"/>
          <w:szCs w:val="32"/>
          <w:shd w:val="clear" w:color="auto" w:fill="FFFFFF"/>
        </w:rPr>
        <w:t>：</w:t>
      </w:r>
      <w:r>
        <w:rPr>
          <w:rFonts w:ascii="方正仿宋_GBK" w:hAnsi="方正仿宋_GBK" w:eastAsia="方正仿宋_GBK" w:cs="方正仿宋_GBK"/>
          <w:sz w:val="32"/>
          <w:szCs w:val="32"/>
          <w:shd w:val="clear" w:color="auto" w:fill="FFFFFF"/>
        </w:rPr>
        <w:t>反映单位购买商品和服务的支出（不包括用于购置固定资产的支出、战略性和应急储备支出）。</w:t>
      </w:r>
    </w:p>
    <w:p>
      <w:pPr>
        <w:pStyle w:val="6"/>
        <w:snapToGrid w:val="0"/>
        <w:spacing w:before="0" w:beforeAutospacing="0" w:after="0" w:afterAutospacing="0" w:line="579" w:lineRule="exact"/>
        <w:jc w:val="both"/>
        <w:rPr>
          <w:rFonts w:hint="default" w:ascii="方正仿宋_GBK" w:hAnsi="方正仿宋_GBK" w:eastAsia="方正仿宋_GBK" w:cs="方正仿宋_GBK"/>
          <w:sz w:val="32"/>
          <w:szCs w:val="32"/>
        </w:rPr>
      </w:pPr>
      <w:r>
        <w:rPr>
          <w:rStyle w:val="10"/>
          <w:rFonts w:ascii="方正楷体_GBK" w:hAnsi="楷体" w:eastAsia="方正楷体_GBK" w:cs="楷体"/>
          <w:b w:val="0"/>
          <w:sz w:val="32"/>
          <w:szCs w:val="32"/>
          <w:shd w:val="clear" w:color="auto" w:fill="FFFFFF"/>
        </w:rPr>
        <w:t>（十一）对个人和家庭的补助（支出经济分类科目类级）</w:t>
      </w:r>
      <w:r>
        <w:rPr>
          <w:rFonts w:ascii="方正楷体_GBK" w:hAnsi="楷体" w:eastAsia="方正楷体_GBK" w:cs="楷体"/>
          <w:b/>
          <w:sz w:val="32"/>
          <w:szCs w:val="32"/>
          <w:shd w:val="clear" w:color="auto" w:fill="FFFFFF"/>
        </w:rPr>
        <w:t>：</w:t>
      </w:r>
      <w:r>
        <w:rPr>
          <w:rFonts w:ascii="方正仿宋_GBK" w:hAnsi="方正仿宋_GBK" w:eastAsia="方正仿宋_GBK" w:cs="方正仿宋_GBK"/>
          <w:sz w:val="32"/>
          <w:szCs w:val="32"/>
          <w:shd w:val="clear" w:color="auto" w:fill="FFFFFF"/>
        </w:rPr>
        <w:t>反映用于对个人和家庭的补助支出。</w:t>
      </w:r>
    </w:p>
    <w:p>
      <w:pPr>
        <w:pStyle w:val="6"/>
        <w:snapToGrid w:val="0"/>
        <w:spacing w:before="0" w:beforeAutospacing="0" w:after="0" w:afterAutospacing="0" w:line="579" w:lineRule="exact"/>
        <w:jc w:val="both"/>
        <w:rPr>
          <w:rFonts w:hint="default" w:ascii="方正仿宋_GBK" w:hAnsi="方正仿宋_GBK" w:eastAsia="方正仿宋_GBK" w:cs="方正仿宋_GBK"/>
          <w:sz w:val="32"/>
          <w:szCs w:val="32"/>
        </w:rPr>
      </w:pPr>
      <w:r>
        <w:rPr>
          <w:rStyle w:val="10"/>
          <w:rFonts w:ascii="方正楷体_GBK" w:hAnsi="楷体" w:eastAsia="方正楷体_GBK" w:cs="楷体"/>
          <w:b w:val="0"/>
          <w:sz w:val="32"/>
          <w:szCs w:val="32"/>
          <w:shd w:val="clear" w:color="auto" w:fill="FFFFFF"/>
        </w:rPr>
        <w:t>（十二）其他资本性支出（支出经济分类科目类级）</w:t>
      </w:r>
      <w:r>
        <w:rPr>
          <w:rFonts w:ascii="方正楷体_GBK" w:hAnsi="楷体" w:eastAsia="方正楷体_GBK" w:cs="楷体"/>
          <w:b/>
          <w:sz w:val="32"/>
          <w:szCs w:val="32"/>
          <w:shd w:val="clear" w:color="auto" w:fill="FFFFFF"/>
        </w:rPr>
        <w:t>：</w:t>
      </w:r>
      <w:r>
        <w:rPr>
          <w:rFonts w:ascii="方正仿宋_GBK" w:hAnsi="方正仿宋_GBK" w:eastAsia="方正仿宋_GBK" w:cs="方正仿宋_GBK"/>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pPr>
        <w:pStyle w:val="6"/>
        <w:shd w:val="clear" w:color="auto" w:fill="FFFFFF"/>
        <w:spacing w:before="0" w:beforeAutospacing="0" w:after="0" w:afterAutospacing="0" w:line="579" w:lineRule="exact"/>
        <w:ind w:firstLine="640" w:firstLineChars="200"/>
        <w:jc w:val="both"/>
        <w:rPr>
          <w:rStyle w:val="10"/>
          <w:rFonts w:hint="default" w:ascii="方正黑体_GBK" w:hAnsi="方正仿宋_GBK" w:eastAsia="方正黑体_GBK" w:cs="方正仿宋_GBK"/>
          <w:b w:val="0"/>
          <w:sz w:val="32"/>
          <w:szCs w:val="32"/>
          <w:shd w:val="clear" w:color="auto" w:fill="FFFFFF"/>
        </w:rPr>
      </w:pPr>
      <w:r>
        <w:rPr>
          <w:rStyle w:val="10"/>
          <w:rFonts w:ascii="方正黑体_GBK" w:hAnsi="黑体" w:eastAsia="方正黑体_GBK" w:cs="黑体"/>
          <w:b w:val="0"/>
          <w:sz w:val="32"/>
          <w:szCs w:val="32"/>
          <w:shd w:val="clear" w:color="auto" w:fill="FFFFFF"/>
        </w:rPr>
        <w:t>七、决算公开联系方式及信息反馈渠道</w:t>
      </w:r>
    </w:p>
    <w:p>
      <w:pPr>
        <w:widowControl w:val="0"/>
        <w:overflowPunct w:val="0"/>
        <w:topLinePunct/>
        <w:spacing w:line="579" w:lineRule="exact"/>
        <w:ind w:firstLine="640" w:firstLineChars="200"/>
        <w:jc w:val="both"/>
        <w:rPr>
          <w:rStyle w:val="10"/>
          <w:rFonts w:hint="default" w:ascii="方正仿宋_GBK" w:eastAsia="方正仿宋_GBK"/>
          <w:b w:val="0"/>
          <w:sz w:val="32"/>
          <w:szCs w:val="32"/>
        </w:rPr>
        <w:sectPr>
          <w:footerReference r:id="rId3" w:type="default"/>
          <w:pgSz w:w="11915" w:h="16840"/>
          <w:pgMar w:top="1440" w:right="1800" w:bottom="1440" w:left="1800" w:header="851" w:footer="992" w:gutter="0"/>
          <w:pgNumType w:fmt="numberInDash"/>
          <w:cols w:space="720" w:num="1"/>
          <w:docGrid w:type="lines" w:linePitch="312" w:charSpace="0"/>
        </w:sectPr>
      </w:pPr>
      <w:r>
        <w:rPr>
          <w:rFonts w:ascii="方正仿宋_GBK" w:eastAsia="方正仿宋_GBK"/>
          <w:sz w:val="32"/>
          <w:szCs w:val="32"/>
        </w:rPr>
        <w:t>本单位决算公开信息反馈和联系方式： 023-72899027</w:t>
      </w:r>
    </w:p>
    <w:p>
      <w:pPr>
        <w:rPr>
          <w:rFonts w:hint="default" w:cs="宋体"/>
          <w:sz w:val="21"/>
          <w:szCs w:val="21"/>
        </w:rPr>
      </w:pPr>
    </w:p>
    <w:sectPr>
      <w:headerReference r:id="rId4" w:type="default"/>
      <w:footerReference r:id="rId5" w:type="default"/>
      <w:pgSz w:w="16839" w:h="11907" w:orient="landscape"/>
      <w:pgMar w:top="567" w:right="454" w:bottom="567" w:left="103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方正仿宋_GBK">
    <w:panose1 w:val="02000000000000000000"/>
    <w:charset w:val="86"/>
    <w:family w:val="script"/>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default"/>
      </w:rPr>
    </w:pPr>
    <w:r>
      <w:rPr>
        <w:rFonts w:hint="default"/>
      </w:rPr>
      <w:pict>
        <v:shape id="_x0000_s2050" o:spid="_x0000_s2050"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weight="0.5pt" joinstyle="miter"/>
          <v:imagedata o:title=""/>
          <o:lock v:ext="edit"/>
          <v:textbox inset="0mm,0mm,0mm,0mm" style="mso-fit-shape-to-text:t;">
            <w:txbxContent>
              <w:p>
                <w:pPr>
                  <w:pStyle w:val="3"/>
                  <w:rPr>
                    <w:rFonts w:hint="default"/>
                  </w:rPr>
                </w:pPr>
                <w:r>
                  <w:fldChar w:fldCharType="begin"/>
                </w:r>
                <w:r>
                  <w:instrText xml:space="preserve"> PAGE  \* MERGEFORMAT </w:instrText>
                </w:r>
                <w:r>
                  <w:fldChar w:fldCharType="separate"/>
                </w:r>
                <w:r>
                  <w:rPr>
                    <w:rFonts w:hint="default"/>
                  </w:rPr>
                  <w:t>- 8 -</w:t>
                </w:r>
                <w:r>
                  <w:rPr>
                    <w:rFonts w:hint="default"/>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rPr>
        <w:rFonts w:hint="default"/>
      </w:rPr>
    </w:pPr>
    <w:r>
      <w:rPr>
        <w:rFonts w:hint="default"/>
      </w:rPr>
      <w:pict>
        <v:shape id="_x0000_s2052" o:spid="_x0000_s2052" o:spt="202" type="#_x0000_t202" style="position:absolute;left:0pt;margin-top:0pt;height:144pt;width:144pt;mso-position-horizontal:center;mso-position-horizontal-relative:margin;mso-wrap-style:none;z-index:251660288;mso-width-relative:page;mso-height-relative:page;" filled="f" stroked="f" coordsize="21600,21600" o:allowoverlap="f">
          <v:path/>
          <v:fill on="f" focussize="0,0"/>
          <v:stroke on="f" weight="0.5pt" joinstyle="miter"/>
          <v:imagedata o:title=""/>
          <o:lock v:ext="edit"/>
          <v:textbox inset="0mm,0mm,0mm,0mm" style="mso-fit-shape-to-text:t;">
            <w:txbxContent>
              <w:p>
                <w:pPr>
                  <w:pStyle w:val="3"/>
                  <w:rPr>
                    <w:rFonts w:hint="default"/>
                  </w:rPr>
                </w:pPr>
                <w:r>
                  <w:fldChar w:fldCharType="begin"/>
                </w:r>
                <w:r>
                  <w:instrText xml:space="preserve">PAGE   \* MERGEFORMAT</w:instrText>
                </w:r>
                <w:r>
                  <w:fldChar w:fldCharType="separate"/>
                </w:r>
                <w:r>
                  <w:rPr>
                    <w:rFonts w:hint="default"/>
                    <w:lang w:val="zh-CN"/>
                  </w:rPr>
                  <w:t>-</w:t>
                </w:r>
                <w:r>
                  <w:rPr>
                    <w:rFonts w:hint="default"/>
                  </w:rPr>
                  <w:t xml:space="preserve"> 9 -</w:t>
                </w:r>
                <w:r>
                  <w:rPr>
                    <w:rFonts w:hint="default"/>
                  </w:rPr>
                  <w:fldChar w:fldCharType="end"/>
                </w:r>
              </w:p>
            </w:txbxContent>
          </v:textbox>
        </v:shape>
      </w:pict>
    </w:r>
    <w:r>
      <w:rPr>
        <w:rFonts w:hint="default"/>
      </w:rPr>
      <w:pict>
        <v:shape id="_x0000_s2051" o:spid="_x0000_s2051"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v:path/>
          <v:fill on="f" focussize="0,0"/>
          <v:stroke on="f" weight="0.5pt" joinstyle="miter"/>
          <v:imagedata o:title=""/>
          <o:lock v:ext="edit"/>
          <v:textbox inset="0mm,0mm,0mm,0mm">
            <w:txbxContent>
              <w:p>
                <w:pPr>
                  <w:pStyle w:val="3"/>
                  <w:jc w:val="both"/>
                  <w:rPr>
                    <w:rFonts w:hint="default" w:cs="宋体"/>
                  </w:rPr>
                </w:pPr>
                <w:r>
                  <w:rPr>
                    <w:rFonts w:cs="宋体"/>
                  </w:rPr>
                  <w:t>— 27.1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1758"/>
        <w:tab w:val="clear" w:pos="4153"/>
        <w:tab w:val="clear" w:pos="8306"/>
      </w:tabs>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DB6F8A"/>
    <w:multiLevelType w:val="multilevel"/>
    <w:tmpl w:val="00DB6F8A"/>
    <w:lvl w:ilvl="0" w:tentative="0">
      <w:start w:val="5"/>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94B5A42"/>
    <w:multiLevelType w:val="multilevel"/>
    <w:tmpl w:val="594B5A42"/>
    <w:lvl w:ilvl="0" w:tentative="0">
      <w:start w:val="2"/>
      <w:numFmt w:val="japaneseCounting"/>
      <w:lvlText w:val="（%1）"/>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HorizontalSpacing w:val="120"/>
  <w:drawingGridVerticalSpacing w:val="163"/>
  <w:displayHorizontalDrawingGridEvery w:val="2"/>
  <w:displayVerticalDrawingGridEvery w:val="2"/>
  <w:noPunctuationKerning w:val="true"/>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GQwYWQ1YTE0ZDA0NjgxYzlhMjZlMDExNTFmMWI3MmEifQ=="/>
  </w:docVars>
  <w:rsids>
    <w:rsidRoot w:val="00B03CCD"/>
    <w:rsid w:val="0000475A"/>
    <w:rsid w:val="0001145E"/>
    <w:rsid w:val="00016E96"/>
    <w:rsid w:val="000444EF"/>
    <w:rsid w:val="000641B5"/>
    <w:rsid w:val="00067CF5"/>
    <w:rsid w:val="00074513"/>
    <w:rsid w:val="000823D2"/>
    <w:rsid w:val="000A29CC"/>
    <w:rsid w:val="000A4D26"/>
    <w:rsid w:val="000B1F8D"/>
    <w:rsid w:val="000B4D72"/>
    <w:rsid w:val="000B78C3"/>
    <w:rsid w:val="000C0735"/>
    <w:rsid w:val="000C11C6"/>
    <w:rsid w:val="000C6150"/>
    <w:rsid w:val="000C65FB"/>
    <w:rsid w:val="000E7DBE"/>
    <w:rsid w:val="000F34DA"/>
    <w:rsid w:val="00121A68"/>
    <w:rsid w:val="00121B66"/>
    <w:rsid w:val="001231F9"/>
    <w:rsid w:val="00142D60"/>
    <w:rsid w:val="001509A2"/>
    <w:rsid w:val="0015489E"/>
    <w:rsid w:val="00166A40"/>
    <w:rsid w:val="00171B90"/>
    <w:rsid w:val="0018079D"/>
    <w:rsid w:val="001928AA"/>
    <w:rsid w:val="0019444E"/>
    <w:rsid w:val="001A1779"/>
    <w:rsid w:val="001A59EC"/>
    <w:rsid w:val="001B26EE"/>
    <w:rsid w:val="001C7CBE"/>
    <w:rsid w:val="001E1F40"/>
    <w:rsid w:val="001E7479"/>
    <w:rsid w:val="001E7A10"/>
    <w:rsid w:val="001F203E"/>
    <w:rsid w:val="00202FCA"/>
    <w:rsid w:val="00223A48"/>
    <w:rsid w:val="002243B5"/>
    <w:rsid w:val="0024554C"/>
    <w:rsid w:val="00270E53"/>
    <w:rsid w:val="0028558A"/>
    <w:rsid w:val="00292960"/>
    <w:rsid w:val="002B254B"/>
    <w:rsid w:val="002B2F44"/>
    <w:rsid w:val="002B4277"/>
    <w:rsid w:val="002C0089"/>
    <w:rsid w:val="002D52CB"/>
    <w:rsid w:val="002E7E49"/>
    <w:rsid w:val="002F60E8"/>
    <w:rsid w:val="002F666C"/>
    <w:rsid w:val="002F706D"/>
    <w:rsid w:val="00304D11"/>
    <w:rsid w:val="00311FB2"/>
    <w:rsid w:val="003154A9"/>
    <w:rsid w:val="00321AA1"/>
    <w:rsid w:val="00324230"/>
    <w:rsid w:val="003572EB"/>
    <w:rsid w:val="00360E6E"/>
    <w:rsid w:val="003754CF"/>
    <w:rsid w:val="00392329"/>
    <w:rsid w:val="00392B6D"/>
    <w:rsid w:val="003A1DD9"/>
    <w:rsid w:val="003A3D92"/>
    <w:rsid w:val="003A6A32"/>
    <w:rsid w:val="003C7571"/>
    <w:rsid w:val="003D2A07"/>
    <w:rsid w:val="003D65DE"/>
    <w:rsid w:val="003E352F"/>
    <w:rsid w:val="003F05C8"/>
    <w:rsid w:val="003F0D41"/>
    <w:rsid w:val="003F153D"/>
    <w:rsid w:val="003F417C"/>
    <w:rsid w:val="00401865"/>
    <w:rsid w:val="0041723E"/>
    <w:rsid w:val="004533A7"/>
    <w:rsid w:val="00461F42"/>
    <w:rsid w:val="004636EF"/>
    <w:rsid w:val="004704BD"/>
    <w:rsid w:val="004733BF"/>
    <w:rsid w:val="004836EA"/>
    <w:rsid w:val="0049355C"/>
    <w:rsid w:val="00493882"/>
    <w:rsid w:val="0049760F"/>
    <w:rsid w:val="004A597F"/>
    <w:rsid w:val="004B5CEB"/>
    <w:rsid w:val="004C64EA"/>
    <w:rsid w:val="004D3240"/>
    <w:rsid w:val="004F1CED"/>
    <w:rsid w:val="005067FD"/>
    <w:rsid w:val="00513685"/>
    <w:rsid w:val="00534131"/>
    <w:rsid w:val="00535CA7"/>
    <w:rsid w:val="00550ABE"/>
    <w:rsid w:val="005525D4"/>
    <w:rsid w:val="0055632C"/>
    <w:rsid w:val="005577F6"/>
    <w:rsid w:val="005805B6"/>
    <w:rsid w:val="005A7273"/>
    <w:rsid w:val="005D34F1"/>
    <w:rsid w:val="005D3EE0"/>
    <w:rsid w:val="005F6BAA"/>
    <w:rsid w:val="006054AF"/>
    <w:rsid w:val="00607867"/>
    <w:rsid w:val="006206BE"/>
    <w:rsid w:val="0063359C"/>
    <w:rsid w:val="00633A29"/>
    <w:rsid w:val="00673413"/>
    <w:rsid w:val="00676D30"/>
    <w:rsid w:val="00680BCA"/>
    <w:rsid w:val="00697B5D"/>
    <w:rsid w:val="006B2A48"/>
    <w:rsid w:val="006B5323"/>
    <w:rsid w:val="006F4501"/>
    <w:rsid w:val="00706067"/>
    <w:rsid w:val="00707F39"/>
    <w:rsid w:val="00711E91"/>
    <w:rsid w:val="007303F0"/>
    <w:rsid w:val="00731F43"/>
    <w:rsid w:val="00735DDB"/>
    <w:rsid w:val="00747201"/>
    <w:rsid w:val="0074721D"/>
    <w:rsid w:val="00755ECC"/>
    <w:rsid w:val="00766B5E"/>
    <w:rsid w:val="00767CA8"/>
    <w:rsid w:val="00770383"/>
    <w:rsid w:val="007819D4"/>
    <w:rsid w:val="0078247A"/>
    <w:rsid w:val="00794C04"/>
    <w:rsid w:val="007962D5"/>
    <w:rsid w:val="007A157A"/>
    <w:rsid w:val="007B419D"/>
    <w:rsid w:val="007C2B42"/>
    <w:rsid w:val="007F640E"/>
    <w:rsid w:val="008247CE"/>
    <w:rsid w:val="00832822"/>
    <w:rsid w:val="0083395C"/>
    <w:rsid w:val="00845186"/>
    <w:rsid w:val="00850A07"/>
    <w:rsid w:val="00853209"/>
    <w:rsid w:val="00856071"/>
    <w:rsid w:val="00856F9F"/>
    <w:rsid w:val="00860C22"/>
    <w:rsid w:val="00875656"/>
    <w:rsid w:val="00881EB2"/>
    <w:rsid w:val="00897F30"/>
    <w:rsid w:val="008A204E"/>
    <w:rsid w:val="008A6D1B"/>
    <w:rsid w:val="008A7908"/>
    <w:rsid w:val="008B37CA"/>
    <w:rsid w:val="008B3C02"/>
    <w:rsid w:val="008B41B7"/>
    <w:rsid w:val="008C0471"/>
    <w:rsid w:val="008D14F8"/>
    <w:rsid w:val="008D72E6"/>
    <w:rsid w:val="008D7D7C"/>
    <w:rsid w:val="008E215A"/>
    <w:rsid w:val="008F40E8"/>
    <w:rsid w:val="008F57F9"/>
    <w:rsid w:val="009136E0"/>
    <w:rsid w:val="009664AE"/>
    <w:rsid w:val="00976809"/>
    <w:rsid w:val="0098636B"/>
    <w:rsid w:val="009931AE"/>
    <w:rsid w:val="00995605"/>
    <w:rsid w:val="009B67B8"/>
    <w:rsid w:val="009D1503"/>
    <w:rsid w:val="009D2B67"/>
    <w:rsid w:val="009F34E2"/>
    <w:rsid w:val="009F63AD"/>
    <w:rsid w:val="00A12751"/>
    <w:rsid w:val="00A7033F"/>
    <w:rsid w:val="00A81532"/>
    <w:rsid w:val="00A86F85"/>
    <w:rsid w:val="00AA681B"/>
    <w:rsid w:val="00AA6AB6"/>
    <w:rsid w:val="00AB3930"/>
    <w:rsid w:val="00AC7930"/>
    <w:rsid w:val="00B03CCD"/>
    <w:rsid w:val="00B05EC2"/>
    <w:rsid w:val="00B07884"/>
    <w:rsid w:val="00B40FDB"/>
    <w:rsid w:val="00B502E6"/>
    <w:rsid w:val="00B71F88"/>
    <w:rsid w:val="00BB6E58"/>
    <w:rsid w:val="00BD52B1"/>
    <w:rsid w:val="00BD7ED9"/>
    <w:rsid w:val="00BE3804"/>
    <w:rsid w:val="00C17A60"/>
    <w:rsid w:val="00C20C3E"/>
    <w:rsid w:val="00C45011"/>
    <w:rsid w:val="00C5368D"/>
    <w:rsid w:val="00C72C45"/>
    <w:rsid w:val="00C75020"/>
    <w:rsid w:val="00C8023B"/>
    <w:rsid w:val="00C84403"/>
    <w:rsid w:val="00C85E01"/>
    <w:rsid w:val="00C912A2"/>
    <w:rsid w:val="00C93587"/>
    <w:rsid w:val="00CB0D66"/>
    <w:rsid w:val="00CB40F6"/>
    <w:rsid w:val="00CC0122"/>
    <w:rsid w:val="00CC2351"/>
    <w:rsid w:val="00CE1792"/>
    <w:rsid w:val="00CF7328"/>
    <w:rsid w:val="00D036F8"/>
    <w:rsid w:val="00D133A5"/>
    <w:rsid w:val="00D311F0"/>
    <w:rsid w:val="00D32049"/>
    <w:rsid w:val="00D444FB"/>
    <w:rsid w:val="00D45AC0"/>
    <w:rsid w:val="00D81B7D"/>
    <w:rsid w:val="00D96792"/>
    <w:rsid w:val="00DA41E7"/>
    <w:rsid w:val="00DB47BC"/>
    <w:rsid w:val="00DD6579"/>
    <w:rsid w:val="00E16B80"/>
    <w:rsid w:val="00E26461"/>
    <w:rsid w:val="00E52A6D"/>
    <w:rsid w:val="00E53F3D"/>
    <w:rsid w:val="00E652C5"/>
    <w:rsid w:val="00E80659"/>
    <w:rsid w:val="00E81634"/>
    <w:rsid w:val="00EB12AA"/>
    <w:rsid w:val="00EB3F52"/>
    <w:rsid w:val="00EC7764"/>
    <w:rsid w:val="00EC78F4"/>
    <w:rsid w:val="00EE4132"/>
    <w:rsid w:val="00EE7298"/>
    <w:rsid w:val="00F0221D"/>
    <w:rsid w:val="00F14CDF"/>
    <w:rsid w:val="00F17B47"/>
    <w:rsid w:val="00F323C3"/>
    <w:rsid w:val="00F33E8F"/>
    <w:rsid w:val="00F3637B"/>
    <w:rsid w:val="00F40FF3"/>
    <w:rsid w:val="00F63885"/>
    <w:rsid w:val="00F73F90"/>
    <w:rsid w:val="00F77E9F"/>
    <w:rsid w:val="00F932E7"/>
    <w:rsid w:val="00FC005C"/>
    <w:rsid w:val="00FC034A"/>
    <w:rsid w:val="00FC33A2"/>
    <w:rsid w:val="00FC68EF"/>
    <w:rsid w:val="00FD0B9D"/>
    <w:rsid w:val="00FF3BC2"/>
    <w:rsid w:val="01474EBF"/>
    <w:rsid w:val="01F3521E"/>
    <w:rsid w:val="03B87EA0"/>
    <w:rsid w:val="03E3214F"/>
    <w:rsid w:val="044C50BA"/>
    <w:rsid w:val="05BC6D49"/>
    <w:rsid w:val="06194FF1"/>
    <w:rsid w:val="06A2550B"/>
    <w:rsid w:val="06F80EE2"/>
    <w:rsid w:val="07001CCA"/>
    <w:rsid w:val="075678DB"/>
    <w:rsid w:val="079D7CC7"/>
    <w:rsid w:val="08051BCA"/>
    <w:rsid w:val="086C12F4"/>
    <w:rsid w:val="08705944"/>
    <w:rsid w:val="08BA052C"/>
    <w:rsid w:val="08DB07BA"/>
    <w:rsid w:val="0969353F"/>
    <w:rsid w:val="098305D0"/>
    <w:rsid w:val="0A3317EA"/>
    <w:rsid w:val="0A5C4B69"/>
    <w:rsid w:val="0A86124A"/>
    <w:rsid w:val="0AB54CC0"/>
    <w:rsid w:val="0B9335CE"/>
    <w:rsid w:val="0BF2311A"/>
    <w:rsid w:val="0C7927C4"/>
    <w:rsid w:val="0C9B098C"/>
    <w:rsid w:val="0D673E11"/>
    <w:rsid w:val="0DDA54E4"/>
    <w:rsid w:val="0E3A5F83"/>
    <w:rsid w:val="0F836721"/>
    <w:rsid w:val="0FA25D96"/>
    <w:rsid w:val="107B59E5"/>
    <w:rsid w:val="10EC0126"/>
    <w:rsid w:val="10F70B9A"/>
    <w:rsid w:val="111445C7"/>
    <w:rsid w:val="114278C6"/>
    <w:rsid w:val="1158083A"/>
    <w:rsid w:val="11643A4B"/>
    <w:rsid w:val="11ED0F98"/>
    <w:rsid w:val="11F03528"/>
    <w:rsid w:val="12C921C4"/>
    <w:rsid w:val="13871C70"/>
    <w:rsid w:val="13A71CB4"/>
    <w:rsid w:val="13AF1D43"/>
    <w:rsid w:val="13CE1647"/>
    <w:rsid w:val="13FD55AB"/>
    <w:rsid w:val="14200702"/>
    <w:rsid w:val="163A6CEE"/>
    <w:rsid w:val="173708E3"/>
    <w:rsid w:val="17C374FC"/>
    <w:rsid w:val="182E4AB6"/>
    <w:rsid w:val="189079DC"/>
    <w:rsid w:val="189B0D0B"/>
    <w:rsid w:val="18B43F7C"/>
    <w:rsid w:val="194A1770"/>
    <w:rsid w:val="19B906A4"/>
    <w:rsid w:val="1B6F15B6"/>
    <w:rsid w:val="1BAA2EDC"/>
    <w:rsid w:val="1CA55E64"/>
    <w:rsid w:val="1D014A01"/>
    <w:rsid w:val="1D022362"/>
    <w:rsid w:val="1D1B04B0"/>
    <w:rsid w:val="1DA52501"/>
    <w:rsid w:val="1DBD6767"/>
    <w:rsid w:val="1DC52125"/>
    <w:rsid w:val="1DD26311"/>
    <w:rsid w:val="1E374ACB"/>
    <w:rsid w:val="1ECF0A66"/>
    <w:rsid w:val="1EF67CA4"/>
    <w:rsid w:val="1F020D3A"/>
    <w:rsid w:val="1F2C5189"/>
    <w:rsid w:val="1F4B0B02"/>
    <w:rsid w:val="1FBB35CD"/>
    <w:rsid w:val="1FCD26AF"/>
    <w:rsid w:val="20642787"/>
    <w:rsid w:val="21556F04"/>
    <w:rsid w:val="22403BD3"/>
    <w:rsid w:val="24B92327"/>
    <w:rsid w:val="24C14514"/>
    <w:rsid w:val="2533755C"/>
    <w:rsid w:val="25791755"/>
    <w:rsid w:val="26396DF4"/>
    <w:rsid w:val="27167136"/>
    <w:rsid w:val="271B442C"/>
    <w:rsid w:val="27B23302"/>
    <w:rsid w:val="29310A5F"/>
    <w:rsid w:val="29C37A35"/>
    <w:rsid w:val="2A076083"/>
    <w:rsid w:val="2A73162E"/>
    <w:rsid w:val="2B167953"/>
    <w:rsid w:val="2B200583"/>
    <w:rsid w:val="2B8209DE"/>
    <w:rsid w:val="2C636760"/>
    <w:rsid w:val="2C6762A3"/>
    <w:rsid w:val="2FCA4B37"/>
    <w:rsid w:val="2FE029D7"/>
    <w:rsid w:val="2FF06E00"/>
    <w:rsid w:val="30586FEC"/>
    <w:rsid w:val="315F0B22"/>
    <w:rsid w:val="31D84415"/>
    <w:rsid w:val="32285F6F"/>
    <w:rsid w:val="32770556"/>
    <w:rsid w:val="329C0913"/>
    <w:rsid w:val="32AA0460"/>
    <w:rsid w:val="3337290D"/>
    <w:rsid w:val="33E31118"/>
    <w:rsid w:val="33EF7674"/>
    <w:rsid w:val="342D7BC6"/>
    <w:rsid w:val="352930DB"/>
    <w:rsid w:val="35573069"/>
    <w:rsid w:val="355F6038"/>
    <w:rsid w:val="358C217E"/>
    <w:rsid w:val="36C9128A"/>
    <w:rsid w:val="37841E99"/>
    <w:rsid w:val="37BF1123"/>
    <w:rsid w:val="383C3F15"/>
    <w:rsid w:val="38BE4696"/>
    <w:rsid w:val="3939115E"/>
    <w:rsid w:val="39B82A39"/>
    <w:rsid w:val="39C42CA8"/>
    <w:rsid w:val="39DC4FD6"/>
    <w:rsid w:val="39F03D7A"/>
    <w:rsid w:val="39F33306"/>
    <w:rsid w:val="3A2C1C67"/>
    <w:rsid w:val="3ADD7F09"/>
    <w:rsid w:val="3B1705E5"/>
    <w:rsid w:val="3B18334B"/>
    <w:rsid w:val="3B36794F"/>
    <w:rsid w:val="3B6F6EE0"/>
    <w:rsid w:val="3C566AD6"/>
    <w:rsid w:val="3C594871"/>
    <w:rsid w:val="3C6A5B02"/>
    <w:rsid w:val="3D2757A1"/>
    <w:rsid w:val="3D3D4FC4"/>
    <w:rsid w:val="3DDF3AB1"/>
    <w:rsid w:val="3E1D0952"/>
    <w:rsid w:val="3E42660A"/>
    <w:rsid w:val="3E7555B1"/>
    <w:rsid w:val="3E787ED9"/>
    <w:rsid w:val="3F032E93"/>
    <w:rsid w:val="3F0527E5"/>
    <w:rsid w:val="3F694D83"/>
    <w:rsid w:val="3F885DCC"/>
    <w:rsid w:val="3FCD675E"/>
    <w:rsid w:val="4004000C"/>
    <w:rsid w:val="40BD5482"/>
    <w:rsid w:val="411B6CE5"/>
    <w:rsid w:val="412070D7"/>
    <w:rsid w:val="41314E40"/>
    <w:rsid w:val="41E0734B"/>
    <w:rsid w:val="426C1EA8"/>
    <w:rsid w:val="42736402"/>
    <w:rsid w:val="42E86A87"/>
    <w:rsid w:val="43307B09"/>
    <w:rsid w:val="439A3EB9"/>
    <w:rsid w:val="43BB152F"/>
    <w:rsid w:val="44C37687"/>
    <w:rsid w:val="45CB699A"/>
    <w:rsid w:val="465B470D"/>
    <w:rsid w:val="469D6AD4"/>
    <w:rsid w:val="471E6C84"/>
    <w:rsid w:val="471F1ADA"/>
    <w:rsid w:val="4748792B"/>
    <w:rsid w:val="475D719D"/>
    <w:rsid w:val="47674801"/>
    <w:rsid w:val="48225EF7"/>
    <w:rsid w:val="488F422B"/>
    <w:rsid w:val="48E36915"/>
    <w:rsid w:val="48EB6572"/>
    <w:rsid w:val="495C4A24"/>
    <w:rsid w:val="497135DF"/>
    <w:rsid w:val="4A263DF2"/>
    <w:rsid w:val="4A6F6675"/>
    <w:rsid w:val="4B135857"/>
    <w:rsid w:val="4B7951CB"/>
    <w:rsid w:val="4B7C315C"/>
    <w:rsid w:val="4DAC4ACA"/>
    <w:rsid w:val="4DBE01D2"/>
    <w:rsid w:val="4F0C6BA3"/>
    <w:rsid w:val="4F186D58"/>
    <w:rsid w:val="50F06B6E"/>
    <w:rsid w:val="51D21804"/>
    <w:rsid w:val="52234D33"/>
    <w:rsid w:val="522F6E0C"/>
    <w:rsid w:val="52463BA1"/>
    <w:rsid w:val="52F163D4"/>
    <w:rsid w:val="531A2DB4"/>
    <w:rsid w:val="53C0244D"/>
    <w:rsid w:val="53DD4D4E"/>
    <w:rsid w:val="53E578CE"/>
    <w:rsid w:val="541330F0"/>
    <w:rsid w:val="54272666"/>
    <w:rsid w:val="543B029D"/>
    <w:rsid w:val="54861779"/>
    <w:rsid w:val="552256E1"/>
    <w:rsid w:val="554E5773"/>
    <w:rsid w:val="555A3CBC"/>
    <w:rsid w:val="5582012B"/>
    <w:rsid w:val="558E4E05"/>
    <w:rsid w:val="55BE2E85"/>
    <w:rsid w:val="56530F5D"/>
    <w:rsid w:val="567700D3"/>
    <w:rsid w:val="56FF7E9E"/>
    <w:rsid w:val="578867FC"/>
    <w:rsid w:val="5842572D"/>
    <w:rsid w:val="5A3B59D6"/>
    <w:rsid w:val="5AD134D8"/>
    <w:rsid w:val="5C263CE4"/>
    <w:rsid w:val="5C5D2777"/>
    <w:rsid w:val="5CF66BF3"/>
    <w:rsid w:val="5D290C69"/>
    <w:rsid w:val="5F2D4A41"/>
    <w:rsid w:val="60C74F6C"/>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EE5541"/>
    <w:rsid w:val="67924660"/>
    <w:rsid w:val="68407834"/>
    <w:rsid w:val="6883293E"/>
    <w:rsid w:val="688412AD"/>
    <w:rsid w:val="68EB1B71"/>
    <w:rsid w:val="6A6C7940"/>
    <w:rsid w:val="6AAD2300"/>
    <w:rsid w:val="6B474EF5"/>
    <w:rsid w:val="6C0A5AC5"/>
    <w:rsid w:val="6C560CAE"/>
    <w:rsid w:val="6C576495"/>
    <w:rsid w:val="6D903FF5"/>
    <w:rsid w:val="6DA955B8"/>
    <w:rsid w:val="6DE346AB"/>
    <w:rsid w:val="6DE5391A"/>
    <w:rsid w:val="6EFD1324"/>
    <w:rsid w:val="6F5A53AC"/>
    <w:rsid w:val="6FAC003D"/>
    <w:rsid w:val="6FE55E12"/>
    <w:rsid w:val="6FFB2E76"/>
    <w:rsid w:val="708F6F7F"/>
    <w:rsid w:val="70D94BD3"/>
    <w:rsid w:val="71C34D91"/>
    <w:rsid w:val="72DB435C"/>
    <w:rsid w:val="72E2613A"/>
    <w:rsid w:val="72F771F4"/>
    <w:rsid w:val="73934AD2"/>
    <w:rsid w:val="750837F0"/>
    <w:rsid w:val="754758CF"/>
    <w:rsid w:val="764F62AB"/>
    <w:rsid w:val="765C45EC"/>
    <w:rsid w:val="768A7619"/>
    <w:rsid w:val="772E1EBA"/>
    <w:rsid w:val="781926BC"/>
    <w:rsid w:val="796D60A4"/>
    <w:rsid w:val="79A031D5"/>
    <w:rsid w:val="7A1525F7"/>
    <w:rsid w:val="7B420052"/>
    <w:rsid w:val="7BD06A28"/>
    <w:rsid w:val="7C3A7C0B"/>
    <w:rsid w:val="7C5248E4"/>
    <w:rsid w:val="7C566698"/>
    <w:rsid w:val="7C5866A3"/>
    <w:rsid w:val="7D7406BB"/>
    <w:rsid w:val="7DE94331"/>
    <w:rsid w:val="7F446A19"/>
    <w:rsid w:val="7F7452B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qFormat/>
    <w:uiPriority w:val="0"/>
    <w:rPr>
      <w:sz w:val="18"/>
      <w:szCs w:val="18"/>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6">
    <w:name w:val="Normal (Web)"/>
    <w:basedOn w:val="1"/>
    <w:unhideWhenUsed/>
    <w:qFormat/>
    <w:uiPriority w:val="0"/>
    <w:pPr>
      <w:spacing w:before="100" w:beforeAutospacing="1" w:after="100" w:afterAutospacing="1"/>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b/>
    </w:rPr>
  </w:style>
  <w:style w:type="paragraph" w:customStyle="1" w:styleId="11">
    <w:name w:val="列出段落1"/>
    <w:basedOn w:val="1"/>
    <w:qFormat/>
    <w:uiPriority w:val="99"/>
    <w:pPr>
      <w:ind w:firstLine="420" w:firstLineChars="200"/>
    </w:pPr>
    <w:rPr>
      <w:rFonts w:hint="default"/>
    </w:rPr>
  </w:style>
  <w:style w:type="paragraph" w:customStyle="1" w:styleId="12">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3">
    <w:name w:val="21"/>
    <w:qFormat/>
    <w:uiPriority w:val="0"/>
    <w:rPr>
      <w:rFonts w:hint="default" w:ascii="Wingdings" w:hAnsi="Wingdings" w:cs="Wingdings"/>
      <w:b/>
      <w:bCs/>
    </w:rPr>
  </w:style>
  <w:style w:type="paragraph" w:customStyle="1" w:styleId="14">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5">
    <w:name w:val="批注框文本 Char"/>
    <w:basedOn w:val="9"/>
    <w:link w:val="2"/>
    <w:qFormat/>
    <w:uiPriority w:val="0"/>
    <w:rPr>
      <w:rFonts w:ascii="宋体" w:hAnsi="宋体"/>
      <w:sz w:val="18"/>
      <w:szCs w:val="18"/>
    </w:rPr>
  </w:style>
  <w:style w:type="paragraph" w:styleId="16">
    <w:name w:val="List Paragraph"/>
    <w:basedOn w:val="1"/>
    <w:qFormat/>
    <w:uiPriority w:val="34"/>
    <w:pPr>
      <w:widowControl w:val="0"/>
      <w:ind w:firstLine="420" w:firstLineChars="200"/>
      <w:jc w:val="both"/>
    </w:pPr>
    <w:rPr>
      <w:rFonts w:hint="default" w:ascii="Times New Roman" w:hAnsi="Times New Roman"/>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0"/>
    <customShpInfo spid="_x0000_s2052"/>
    <customShpInfo spid="_x0000_s205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9</Pages>
  <Words>635</Words>
  <Characters>3623</Characters>
  <Lines>30</Lines>
  <Paragraphs>8</Paragraphs>
  <TotalTime>165</TotalTime>
  <ScaleCrop>false</ScaleCrop>
  <LinksUpToDate>false</LinksUpToDate>
  <CharactersWithSpaces>4250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2025-11-03T10:59:00Z</dcterms:created>
  <dc:creator>Administrator</dc:creator>
  <cp:lastModifiedBy>苏娟</cp:lastModifiedBy>
  <dcterms:modified xsi:type="dcterms:W3CDTF">2025-11-08T10:50:27Z</dcterms:modified>
  <cp:revision>124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BB46EABDBB2749749395447164B066B3_12</vt:lpwstr>
  </property>
</Properties>
</file>