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360" w:lineRule="auto"/>
        <w:jc w:val="both"/>
        <w:rPr>
          <w:rFonts w:hint="default" w:ascii="方正黑体_GBK" w:hAnsi="方正黑体_GBK" w:eastAsia="方正黑体_GBK" w:cs="方正黑体_GBK"/>
          <w:sz w:val="32"/>
          <w:szCs w:val="32"/>
          <w:shd w:val="clear" w:color="auto" w:fill="FFFFFF"/>
        </w:rPr>
      </w:pPr>
      <w:r>
        <w:rPr>
          <w:rFonts w:ascii="方正黑体_GBK" w:hAnsi="方正黑体_GBK" w:eastAsia="方正黑体_GBK" w:cs="方正黑体_GBK"/>
          <w:sz w:val="32"/>
          <w:szCs w:val="32"/>
          <w:shd w:val="clear" w:color="auto" w:fill="FFFFFF"/>
        </w:rPr>
        <w:t>附件2</w:t>
      </w:r>
    </w:p>
    <w:p>
      <w:pPr>
        <w:pStyle w:val="6"/>
        <w:spacing w:before="0" w:beforeAutospacing="0" w:after="0" w:afterAutospacing="0" w:line="360" w:lineRule="auto"/>
        <w:jc w:val="center"/>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shd w:val="clear" w:color="auto" w:fill="FFFFFF"/>
        </w:rPr>
        <w:t>重庆市涪陵区生态环境局2024年度(本级）决算公开</w:t>
      </w:r>
    </w:p>
    <w:p>
      <w:pPr>
        <w:pStyle w:val="6"/>
        <w:shd w:val="clear" w:color="auto" w:fill="FFFFFF"/>
        <w:spacing w:before="0" w:beforeAutospacing="0" w:after="0" w:afterAutospacing="0" w:line="560" w:lineRule="exact"/>
        <w:ind w:firstLine="642" w:firstLineChars="200"/>
        <w:rPr>
          <w:rFonts w:hint="default" w:ascii="黑体" w:hAnsi="黑体" w:eastAsia="黑体" w:cs="黑体"/>
          <w:sz w:val="32"/>
          <w:szCs w:val="32"/>
        </w:rPr>
      </w:pPr>
      <w:r>
        <w:rPr>
          <w:rStyle w:val="10"/>
          <w:rFonts w:ascii="黑体" w:hAnsi="黑体" w:eastAsia="黑体" w:cs="黑体"/>
          <w:sz w:val="32"/>
          <w:szCs w:val="32"/>
          <w:shd w:val="clear" w:color="auto" w:fill="FFFFFF"/>
        </w:rPr>
        <w:t>一、单位基本情况</w:t>
      </w:r>
    </w:p>
    <w:p>
      <w:pPr>
        <w:pStyle w:val="6"/>
        <w:shd w:val="clear" w:color="auto" w:fill="FFFFFF"/>
        <w:spacing w:before="0" w:beforeAutospacing="0" w:after="0" w:afterAutospacing="0" w:line="560" w:lineRule="exact"/>
        <w:ind w:firstLine="642" w:firstLineChars="200"/>
        <w:rPr>
          <w:rStyle w:val="10"/>
          <w:rFonts w:hint="default" w:ascii="方正楷体_GBK" w:hAnsi="楷体" w:eastAsia="方正楷体_GBK" w:cs="楷体"/>
          <w:sz w:val="32"/>
          <w:szCs w:val="32"/>
          <w:shd w:val="clear" w:color="auto" w:fill="FFFFFF"/>
        </w:rPr>
      </w:pPr>
      <w:r>
        <w:rPr>
          <w:rStyle w:val="10"/>
          <w:rFonts w:ascii="方正楷体_GBK" w:hAnsi="楷体" w:eastAsia="方正楷体_GBK" w:cs="楷体"/>
          <w:sz w:val="32"/>
          <w:szCs w:val="32"/>
          <w:shd w:val="clear" w:color="auto" w:fill="FFFFFF"/>
        </w:rPr>
        <w:t>（一）职能职责</w:t>
      </w:r>
    </w:p>
    <w:p>
      <w:pPr>
        <w:pStyle w:val="6"/>
        <w:shd w:val="clear" w:color="auto" w:fill="FFFFFF"/>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我局负责贯彻执行国家生态环境基本制度；负责重大生态环境问题的统筹协调和监督管理；负责监督管理减排目标的落实；负责生态环境领域固定资产投资规模和方向、财政性资金安排相关工作，配合有关部门做好组织实施和监督工作；负责环境污染防治的监督管理，指导协调和监督生态保护修复工作；负责核与辐射安全的监督管理；负责生态环境准入的监督管理；负责生态环境监测工作；负责应对气候变化工作；对接国家、市生态环境保护督察相关工作；负责生态环境监督执法；负责开展生态环境科技工作；组织开展生态环境宣传教育工作；承担重庆市涪陵区生态环境委员会的日常工作；负责机关和所属单位党建工作；承办区委、区政府交办的其他任务。</w:t>
      </w:r>
    </w:p>
    <w:p>
      <w:pPr>
        <w:pStyle w:val="6"/>
        <w:shd w:val="clear" w:color="auto" w:fill="FFFFFF"/>
        <w:spacing w:before="0" w:beforeAutospacing="0" w:after="0" w:afterAutospacing="0" w:line="560" w:lineRule="exact"/>
        <w:ind w:firstLine="642" w:firstLineChars="200"/>
        <w:rPr>
          <w:rStyle w:val="10"/>
          <w:rFonts w:hint="default" w:ascii="方正楷体_GBK" w:eastAsia="方正楷体_GBK"/>
          <w:shd w:val="clear" w:color="auto" w:fill="FFFFFF"/>
        </w:rPr>
      </w:pPr>
      <w:r>
        <w:rPr>
          <w:rStyle w:val="10"/>
          <w:rFonts w:ascii="方正楷体_GBK" w:hAnsi="楷体" w:eastAsia="方正楷体_GBK" w:cs="楷体"/>
          <w:sz w:val="32"/>
          <w:szCs w:val="32"/>
          <w:shd w:val="clear" w:color="auto" w:fill="FFFFFF"/>
        </w:rPr>
        <w:t>（二）机构设置</w:t>
      </w:r>
    </w:p>
    <w:p>
      <w:pPr>
        <w:pStyle w:val="6"/>
        <w:shd w:val="clear" w:color="auto" w:fill="FFFFFF"/>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本单位机构内设8个科室，下属二个单位：重庆市涪陵区生态环境保护综合行政执法支队（独立核算的参公事业单位）、重庆市涪陵区生态环境监测站（独立核算的全额拨款事业单位）。</w:t>
      </w:r>
    </w:p>
    <w:p>
      <w:pPr>
        <w:pStyle w:val="6"/>
        <w:shd w:val="clear" w:color="auto" w:fill="FFFFFF"/>
        <w:spacing w:before="0" w:beforeAutospacing="0" w:after="0" w:afterAutospacing="0" w:line="560" w:lineRule="exact"/>
        <w:ind w:firstLine="642"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二、单位决算情况说明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2024年度收入总计15462.82万元，支出总计</w:t>
      </w:r>
      <w:r>
        <w:rPr>
          <w:rFonts w:ascii="方正仿宋_GBK" w:hAnsi="方正仿宋_GBK" w:eastAsia="方正仿宋_GBK" w:cs="方正仿宋_GBK"/>
          <w:sz w:val="32"/>
          <w:szCs w:val="32"/>
        </w:rPr>
        <w:t>15462.82</w:t>
      </w:r>
      <w:r>
        <w:rPr>
          <w:rFonts w:ascii="方正仿宋_GBK" w:hAnsi="方正仿宋_GBK" w:eastAsia="方正仿宋_GBK" w:cs="方正仿宋_GBK"/>
          <w:sz w:val="32"/>
          <w:szCs w:val="32"/>
          <w:shd w:val="clear" w:color="auto" w:fill="FFFFFF"/>
        </w:rPr>
        <w:t>万元。收支较上年决算数增加6638.18万元，增加75.22%，主要原因是今年项目经费增加造成。</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2024年度收入合计15462.82万元，较上年决算数增加6638.18万元，增加75.22%，主要原因是今年项目经费增加造成。其中：财政拨款收入</w:t>
      </w:r>
      <w:r>
        <w:rPr>
          <w:rFonts w:ascii="方正仿宋_GBK" w:hAnsi="方正仿宋_GBK" w:eastAsia="方正仿宋_GBK" w:cs="方正仿宋_GBK"/>
          <w:sz w:val="32"/>
          <w:szCs w:val="32"/>
        </w:rPr>
        <w:t>15462.82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万元，占0%；经营收入</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万元，占0%；其他收入</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万元，占0%。此外，使用非财政拨款结余和专用结余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15462.82</w:t>
      </w:r>
      <w:r>
        <w:rPr>
          <w:rFonts w:ascii="方正仿宋_GBK" w:hAnsi="方正仿宋_GBK" w:eastAsia="方正仿宋_GBK" w:cs="方正仿宋_GBK"/>
          <w:sz w:val="32"/>
          <w:szCs w:val="32"/>
          <w:shd w:val="clear" w:color="auto" w:fill="FFFFFF"/>
        </w:rPr>
        <w:t>万元，较上年决算数增加6638.18万元，增加75.22%，主要原因是今年项目经费增加造成。其中：基本支出</w:t>
      </w:r>
      <w:r>
        <w:rPr>
          <w:rFonts w:ascii="方正仿宋_GBK" w:hAnsi="方正仿宋_GBK" w:eastAsia="方正仿宋_GBK" w:cs="方正仿宋_GBK"/>
          <w:sz w:val="32"/>
          <w:szCs w:val="32"/>
        </w:rPr>
        <w:t>656.76</w:t>
      </w:r>
      <w:r>
        <w:rPr>
          <w:rFonts w:ascii="方正仿宋_GBK" w:hAnsi="方正仿宋_GBK" w:eastAsia="方正仿宋_GBK" w:cs="方正仿宋_GBK"/>
          <w:sz w:val="32"/>
          <w:szCs w:val="32"/>
          <w:shd w:val="clear" w:color="auto" w:fill="FFFFFF"/>
        </w:rPr>
        <w:t>万元，占4.24%；项目支出</w:t>
      </w:r>
      <w:r>
        <w:rPr>
          <w:rFonts w:ascii="方正仿宋_GBK" w:hAnsi="方正仿宋_GBK" w:eastAsia="方正仿宋_GBK" w:cs="方正仿宋_GBK"/>
          <w:sz w:val="32"/>
          <w:szCs w:val="32"/>
        </w:rPr>
        <w:t>14806.06</w:t>
      </w:r>
      <w:r>
        <w:rPr>
          <w:rFonts w:ascii="方正仿宋_GBK" w:hAnsi="方正仿宋_GBK" w:eastAsia="方正仿宋_GBK" w:cs="方正仿宋_GBK"/>
          <w:sz w:val="32"/>
          <w:szCs w:val="32"/>
          <w:shd w:val="clear" w:color="auto" w:fill="FFFFFF"/>
        </w:rPr>
        <w:t>万元，占95.76%；经营支出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万元，占0%。此外，结余分配</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万元，与上年决算数持平，主要原因是今年一般公共预算财政拨款收支持平，无结余。</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2024年度财政拨款收、支总计15462.82万元。与2023年相比增加6638.18万元，增加75.22%。主要原因是今年项目经费增加造成。</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7185.44</w:t>
      </w:r>
      <w:r>
        <w:rPr>
          <w:rFonts w:ascii="方正仿宋_GBK" w:hAnsi="方正仿宋_GBK" w:eastAsia="方正仿宋_GBK" w:cs="方正仿宋_GBK"/>
          <w:sz w:val="32"/>
          <w:szCs w:val="32"/>
          <w:shd w:val="clear" w:color="auto" w:fill="FFFFFF"/>
        </w:rPr>
        <w:t>万元，较上年决算数增加3235.28万元，增加81.9%，主要原因是今年项目经费增加造成。较年初预算数增加4082.11万元，增加131.53%，主要原因是年中追加项目经费造成。此外，年初财政拨款结转和结余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7185.44</w:t>
      </w:r>
      <w:r>
        <w:rPr>
          <w:rFonts w:ascii="方正仿宋_GBK" w:hAnsi="方正仿宋_GBK" w:eastAsia="方正仿宋_GBK" w:cs="方正仿宋_GBK"/>
          <w:sz w:val="32"/>
          <w:szCs w:val="32"/>
          <w:shd w:val="clear" w:color="auto" w:fill="FFFFFF"/>
        </w:rPr>
        <w:t>万元，较上年决算数增加3235.28万元，增加81.9%，主要原因是今年项目经费增加造成。较年初预算数增加4082.11万元，增加131.53%，主要原因是年中追加项目经费造成。</w:t>
      </w:r>
    </w:p>
    <w:p>
      <w:pPr>
        <w:spacing w:line="420" w:lineRule="atLeast"/>
        <w:ind w:firstLine="48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万元，与上年决算数持平，主要原因是今年一般公共预算财政拨款收支持平，无结余。</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highlight w:val="yellow"/>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本单位2024年度一般公共预算财政拨款支出主要用于以下几个方面：</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110.46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1.53%</w:t>
      </w:r>
      <w:r>
        <w:rPr>
          <w:rFonts w:ascii="方正仿宋_GBK" w:hAnsi="方正仿宋_GBK" w:eastAsia="方正仿宋_GBK" w:cs="方正仿宋_GBK"/>
          <w:sz w:val="32"/>
          <w:szCs w:val="32"/>
          <w:shd w:val="clear" w:color="auto" w:fill="FFFFFF"/>
        </w:rPr>
        <w:t>，较年初预算数增加45.16万元，增加69.15%，主要原因是本年社会保障基数调整导致。</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（2）卫生健康支出</w:t>
      </w:r>
      <w:r>
        <w:rPr>
          <w:rFonts w:ascii="方正仿宋_GBK" w:hAnsi="方正仿宋_GBK" w:eastAsia="方正仿宋_GBK" w:cs="方正仿宋_GBK"/>
          <w:sz w:val="32"/>
          <w:szCs w:val="32"/>
        </w:rPr>
        <w:t>36.25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0.5%</w:t>
      </w:r>
      <w:r>
        <w:rPr>
          <w:rFonts w:ascii="方正仿宋_GBK" w:hAnsi="方正仿宋_GBK" w:eastAsia="方正仿宋_GBK" w:cs="方正仿宋_GBK"/>
          <w:sz w:val="32"/>
          <w:szCs w:val="32"/>
          <w:shd w:val="clear" w:color="auto" w:fill="FFFFFF"/>
        </w:rPr>
        <w:t>，较年初预算数增加1.3万元，增加3.71%，主要原因是本年医疗保障基数调整导致。</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（3）节能环保支出</w:t>
      </w:r>
      <w:r>
        <w:rPr>
          <w:rFonts w:ascii="方正仿宋_GBK" w:hAnsi="方正仿宋_GBK" w:eastAsia="方正仿宋_GBK" w:cs="方正仿宋_GBK"/>
          <w:sz w:val="32"/>
          <w:szCs w:val="32"/>
        </w:rPr>
        <w:t>5096.56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70.92%</w:t>
      </w:r>
      <w:r>
        <w:rPr>
          <w:rFonts w:ascii="方正仿宋_GBK" w:hAnsi="方正仿宋_GBK" w:eastAsia="方正仿宋_GBK" w:cs="方正仿宋_GBK"/>
          <w:sz w:val="32"/>
          <w:szCs w:val="32"/>
          <w:shd w:val="clear" w:color="auto" w:fill="FFFFFF"/>
        </w:rPr>
        <w:t>，较年初预算数增加2131.89万元，增加71.9%，主要原因是年中追加项目经费。</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（4）农林水支出</w:t>
      </w:r>
      <w:r>
        <w:rPr>
          <w:rFonts w:ascii="方正仿宋_GBK" w:hAnsi="方正仿宋_GBK" w:eastAsia="方正仿宋_GBK" w:cs="方正仿宋_GBK"/>
          <w:sz w:val="32"/>
          <w:szCs w:val="32"/>
        </w:rPr>
        <w:t>1909.85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26.57%</w:t>
      </w:r>
      <w:r>
        <w:rPr>
          <w:rFonts w:ascii="方正仿宋_GBK" w:hAnsi="方正仿宋_GBK" w:eastAsia="方正仿宋_GBK" w:cs="方正仿宋_GBK"/>
          <w:sz w:val="32"/>
          <w:szCs w:val="32"/>
          <w:shd w:val="clear" w:color="auto" w:fill="FFFFFF"/>
        </w:rPr>
        <w:t>，较年初预算数增加1909.85万元，增加100%，主要原因是城乡社区支出科目经费部分调整到本支出科目。</w:t>
      </w:r>
    </w:p>
    <w:p>
      <w:pPr>
        <w:spacing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w:t>
      </w:r>
      <w:r>
        <w:rPr>
          <w:rFonts w:ascii="方正仿宋_GBK" w:hAnsi="方正仿宋_GBK" w:eastAsia="方正仿宋_GBK" w:cs="方正仿宋_GBK"/>
          <w:sz w:val="32"/>
          <w:szCs w:val="32"/>
        </w:rPr>
        <w:t>住房保障支出32.32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0.44%</w:t>
      </w:r>
      <w:r>
        <w:rPr>
          <w:rFonts w:ascii="方正仿宋_GBK" w:hAnsi="方正仿宋_GBK" w:eastAsia="方正仿宋_GBK" w:cs="方正仿宋_GBK"/>
          <w:sz w:val="32"/>
          <w:szCs w:val="32"/>
          <w:shd w:val="clear" w:color="auto" w:fill="FFFFFF"/>
        </w:rPr>
        <w:t>，较年初预算数减少6.09万元，减少15.85%，主要原因是本年住房公积金基数调整导致。</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656.76</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557</w:t>
      </w:r>
      <w:r>
        <w:rPr>
          <w:rFonts w:ascii="方正仿宋_GBK" w:hAnsi="方正仿宋_GBK" w:eastAsia="方正仿宋_GBK" w:cs="方正仿宋_GBK"/>
          <w:sz w:val="32"/>
          <w:szCs w:val="32"/>
          <w:shd w:val="clear" w:color="auto" w:fill="FFFFFF"/>
        </w:rPr>
        <w:t>万元，较上年决算数增加18.69万元，减增加3.47%，主要原因是本年社会保障、医保及公积金基数调整导致。人员经费用途主要包括工资、养老保险、职业年金、医疗保险以及公积金。公用经费</w:t>
      </w:r>
      <w:r>
        <w:rPr>
          <w:rFonts w:ascii="方正仿宋_GBK" w:hAnsi="方正仿宋_GBK" w:eastAsia="方正仿宋_GBK" w:cs="方正仿宋_GBK"/>
          <w:sz w:val="32"/>
          <w:szCs w:val="32"/>
        </w:rPr>
        <w:t>99.76</w:t>
      </w:r>
      <w:r>
        <w:rPr>
          <w:rFonts w:ascii="方正仿宋_GBK" w:hAnsi="方正仿宋_GBK" w:eastAsia="方正仿宋_GBK" w:cs="方正仿宋_GBK"/>
          <w:sz w:val="32"/>
          <w:szCs w:val="32"/>
          <w:shd w:val="clear" w:color="auto" w:fill="FFFFFF"/>
        </w:rPr>
        <w:t>万元，较上年决算数增加2.78万元，增加2.86%，主要原因是电费等运行经费增加。公用经费用途主要包括办公费、印刷费、手续费、水电费、差旅费、物管费、租车费、公车运行费、接待费、劳务费等。</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2024年度政府性基金预算财政拨款年初结转结余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8277.38</w:t>
      </w:r>
      <w:r>
        <w:rPr>
          <w:rFonts w:ascii="方正仿宋_GBK" w:hAnsi="方正仿宋_GBK" w:eastAsia="方正仿宋_GBK" w:cs="方正仿宋_GBK"/>
          <w:sz w:val="32"/>
          <w:szCs w:val="32"/>
          <w:shd w:val="clear" w:color="auto" w:fill="FFFFFF"/>
        </w:rPr>
        <w:t>万元，较上年决算数增加3402.91万元，增加69.81%，主要原因是今年使用政府性基金预算支出的项目经费比上年增加。本年支出</w:t>
      </w:r>
      <w:r>
        <w:rPr>
          <w:rFonts w:ascii="方正仿宋_GBK" w:hAnsi="方正仿宋_GBK" w:eastAsia="方正仿宋_GBK" w:cs="方正仿宋_GBK"/>
          <w:sz w:val="32"/>
          <w:szCs w:val="32"/>
        </w:rPr>
        <w:t>8277.38</w:t>
      </w:r>
      <w:r>
        <w:rPr>
          <w:rFonts w:ascii="方正仿宋_GBK" w:hAnsi="方正仿宋_GBK" w:eastAsia="方正仿宋_GBK" w:cs="方正仿宋_GBK"/>
          <w:sz w:val="32"/>
          <w:szCs w:val="32"/>
          <w:shd w:val="clear" w:color="auto" w:fill="FFFFFF"/>
        </w:rPr>
        <w:t>万元，较上年决算数增加3402.91万元，增加69.81%，主要原因是今年使用政府性基金预算支出的项目经费比上年增加。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b/>
          <w:sz w:val="32"/>
          <w:szCs w:val="32"/>
        </w:rPr>
      </w:pPr>
      <w:r>
        <w:rPr>
          <w:rStyle w:val="10"/>
          <w:rFonts w:ascii="方正仿宋_GBK" w:hAnsi="方正仿宋_GBK" w:eastAsia="方正仿宋_GBK" w:cs="方正仿宋_GBK"/>
          <w:b w:val="0"/>
          <w:sz w:val="32"/>
          <w:szCs w:val="32"/>
        </w:rPr>
        <w:t>本单位2024年度无国有资本经营预算财政拨款支出。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11</w:t>
      </w:r>
      <w:r>
        <w:rPr>
          <w:rFonts w:ascii="方正仿宋_GBK" w:hAnsi="方正仿宋_GBK" w:eastAsia="方正仿宋_GBK" w:cs="方正仿宋_GBK"/>
          <w:sz w:val="32"/>
          <w:szCs w:val="32"/>
          <w:shd w:val="clear" w:color="auto" w:fill="FFFFFF"/>
        </w:rPr>
        <w:t>万元，较年初预算数减少1万元，减少8.33%，主要原因是严格执行中央八项规定，厉行节约，压缩运行经费。较上年支出数增加0.44万元，增加4.16%，主要原因是公务用车运行维护费较上年增加。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2024年度本单位因公出国（境）费用</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万元。较年初预算数增加0万元，增加0%，主要原因是本单位2024年度未发生因公出国（境）费用支出。较上年支出数增加0万元，增加0%，主要原因是本单位2024年度未发生因公出国（境）费用支出。</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公务车购置费0.00万元，费用支出较年初预算数增加0.00万元，增长0%，主要原因是本单位2024年度未发生公务车购置费支出。较上年支出数增加0.00万元，增长0%，主要原因是本单位2024年度未发生公务车购置费支出。</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公务用车运行维护费</w:t>
      </w:r>
      <w:r>
        <w:rPr>
          <w:rFonts w:ascii="方正仿宋_GBK" w:hAnsi="方正仿宋_GBK" w:eastAsia="方正仿宋_GBK" w:cs="方正仿宋_GBK"/>
          <w:sz w:val="32"/>
          <w:szCs w:val="32"/>
        </w:rPr>
        <w:t>11</w:t>
      </w:r>
      <w:r>
        <w:rPr>
          <w:rFonts w:ascii="方正仿宋_GBK" w:hAnsi="方正仿宋_GBK" w:eastAsia="方正仿宋_GBK" w:cs="方正仿宋_GBK"/>
          <w:sz w:val="32"/>
          <w:szCs w:val="32"/>
          <w:shd w:val="clear" w:color="auto" w:fill="FFFFFF"/>
        </w:rPr>
        <w:t>万元，主要用于因公出行、中央生态环境保护督察、市级例行督察、美丽涪陵建设、大气污染防治、水污染防治、生态文明宣传教育等。与年初预算数持平，主要原因是严格执行预算安排。较上年支出数增加0.94万元，增加9.34%，主要原因是大气巡查、中央环保督</w:t>
      </w:r>
      <w:r>
        <w:rPr>
          <w:rFonts w:hint="eastAsia" w:ascii="方正仿宋_GBK" w:hAnsi="方正仿宋_GBK" w:eastAsia="方正仿宋_GBK" w:cs="方正仿宋_GBK"/>
          <w:sz w:val="32"/>
          <w:szCs w:val="32"/>
          <w:shd w:val="clear" w:color="auto" w:fill="FFFFFF"/>
          <w:lang w:eastAsia="zh-CN"/>
        </w:rPr>
        <w:t>察</w:t>
      </w:r>
      <w:r>
        <w:rPr>
          <w:rFonts w:ascii="方正仿宋_GBK" w:hAnsi="方正仿宋_GBK" w:eastAsia="方正仿宋_GBK" w:cs="方正仿宋_GBK"/>
          <w:sz w:val="32"/>
          <w:szCs w:val="32"/>
          <w:shd w:val="clear" w:color="auto" w:fill="FFFFFF"/>
        </w:rPr>
        <w:t>等导致。</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万元，较年初预算数减少1万元，减少100%，主要原因是严格执行中央八项规定，厉行节约，压缩运行经费。较上年支出数减少0.5万元，减少100%，主要原因是严格执行中央八项规定，厉行节约，压缩运行经费。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7</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批次0人；国（境）外公务接待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人。2024年本单位人均接待费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1.57</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（一）财政拨款会议费和培训费情况说明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12.15</w:t>
      </w:r>
      <w:r>
        <w:rPr>
          <w:rFonts w:ascii="方正仿宋_GBK" w:hAnsi="方正仿宋_GBK" w:eastAsia="方正仿宋_GBK" w:cs="方正仿宋_GBK"/>
          <w:sz w:val="32"/>
          <w:szCs w:val="32"/>
          <w:shd w:val="clear" w:color="auto" w:fill="FFFFFF"/>
        </w:rPr>
        <w:t>万元，较上年决算数增加12.15万元，增加100%，主要原因是上年度会议费在本年度结算、本年中央环保督</w:t>
      </w:r>
      <w:r>
        <w:rPr>
          <w:rFonts w:hint="eastAsia" w:ascii="方正仿宋_GBK" w:hAnsi="方正仿宋_GBK" w:eastAsia="方正仿宋_GBK" w:cs="方正仿宋_GBK"/>
          <w:sz w:val="32"/>
          <w:szCs w:val="32"/>
          <w:shd w:val="clear" w:color="auto" w:fill="FFFFFF"/>
          <w:lang w:eastAsia="zh-CN"/>
        </w:rPr>
        <w:t>察</w:t>
      </w:r>
      <w:bookmarkStart w:id="0" w:name="_GoBack"/>
      <w:bookmarkEnd w:id="0"/>
      <w:r>
        <w:rPr>
          <w:rFonts w:ascii="方正仿宋_GBK" w:hAnsi="方正仿宋_GBK" w:eastAsia="方正仿宋_GBK" w:cs="方正仿宋_GBK"/>
          <w:sz w:val="32"/>
          <w:szCs w:val="32"/>
          <w:shd w:val="clear" w:color="auto" w:fill="FFFFFF"/>
        </w:rPr>
        <w:t>工作发生会议费。本年度培训费支出</w:t>
      </w:r>
      <w:r>
        <w:rPr>
          <w:rFonts w:ascii="方正仿宋_GBK" w:hAnsi="方正仿宋_GBK" w:eastAsia="方正仿宋_GBK" w:cs="方正仿宋_GBK"/>
          <w:sz w:val="32"/>
          <w:szCs w:val="32"/>
        </w:rPr>
        <w:t>0.53</w:t>
      </w:r>
      <w:r>
        <w:rPr>
          <w:rFonts w:ascii="方正仿宋_GBK" w:hAnsi="方正仿宋_GBK" w:eastAsia="方正仿宋_GBK" w:cs="方正仿宋_GBK"/>
          <w:sz w:val="32"/>
          <w:szCs w:val="32"/>
          <w:shd w:val="clear" w:color="auto" w:fill="FFFFFF"/>
        </w:rPr>
        <w:t>万元，较上年决算数增加0.53万元，增加100%，主要原因是本年培训增加。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2024年度本单位机关运行经费支出</w:t>
      </w:r>
      <w:r>
        <w:rPr>
          <w:rFonts w:ascii="方正仿宋_GBK" w:hAnsi="方正仿宋_GBK" w:eastAsia="方正仿宋_GBK" w:cs="方正仿宋_GBK"/>
          <w:sz w:val="32"/>
          <w:szCs w:val="32"/>
        </w:rPr>
        <w:t>99.76</w:t>
      </w:r>
      <w:r>
        <w:rPr>
          <w:rFonts w:ascii="方正仿宋_GBK" w:hAnsi="方正仿宋_GBK" w:eastAsia="方正仿宋_GBK" w:cs="方正仿宋_GBK"/>
          <w:sz w:val="32"/>
          <w:szCs w:val="32"/>
          <w:shd w:val="clear" w:color="auto" w:fill="FFFFFF"/>
        </w:rPr>
        <w:t>万元，机关运行经费主要用于开支办公费、印刷费、手续费、水电费、差旅费、接待费、劳务费等。机关运行经费较上年决算数增加2.78万元，增加2.86%，主要原因是本年电费等运行经费增加。</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截至2024年12月31日，本单位共有车辆</w:t>
      </w:r>
      <w:r>
        <w:rPr>
          <w:rFonts w:ascii="方正仿宋_GBK" w:hAnsi="方正仿宋_GBK" w:eastAsia="方正仿宋_GBK" w:cs="方正仿宋_GBK"/>
          <w:sz w:val="32"/>
          <w:szCs w:val="32"/>
        </w:rPr>
        <w:t>7</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6</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2024年度本单位政府采购支出总额</w:t>
      </w:r>
      <w:r>
        <w:rPr>
          <w:rFonts w:ascii="方正仿宋_GBK" w:hAnsi="方正仿宋_GBK" w:eastAsia="方正仿宋_GBK" w:cs="方正仿宋_GBK"/>
          <w:sz w:val="32"/>
          <w:szCs w:val="32"/>
        </w:rPr>
        <w:t>1429.79</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1429.79</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1429.79万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1429.79</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100%</w:t>
      </w:r>
      <w:r>
        <w:rPr>
          <w:rFonts w:ascii="方正仿宋_GBK" w:hAnsi="方正仿宋_GBK" w:eastAsia="方正仿宋_GBK" w:cs="方正仿宋_GBK"/>
          <w:sz w:val="32"/>
          <w:szCs w:val="32"/>
          <w:shd w:val="clear" w:color="auto" w:fill="FFFFFF"/>
        </w:rPr>
        <w:t>。主要用于</w:t>
      </w:r>
      <w:r>
        <w:rPr>
          <w:rFonts w:ascii="方正仿宋_GBK" w:hAnsi="方正仿宋_GBK" w:eastAsia="方正仿宋_GBK" w:cs="方正仿宋_GBK"/>
          <w:sz w:val="32"/>
          <w:szCs w:val="32"/>
        </w:rPr>
        <w:t>采购大气等污染防治项目相关设备。</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五、预算绩效管理情况说明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（一）单位自评情况</w:t>
      </w:r>
    </w:p>
    <w:p>
      <w:pPr>
        <w:spacing w:line="420" w:lineRule="atLeast"/>
        <w:ind w:firstLine="480"/>
        <w:rPr>
          <w:rStyle w:val="14"/>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根据预算绩效管理要求，我单位对17个项目开展了绩效评价。涉及资金14806.06万元；以委托第三方出具报告的方式开展绩效评价0项，涉及资金0万元。（见附表）</w:t>
      </w:r>
    </w:p>
    <w:p>
      <w:pPr>
        <w:pStyle w:val="12"/>
        <w:autoSpaceDE w:val="0"/>
        <w:spacing w:line="560" w:lineRule="exact"/>
        <w:ind w:firstLine="643"/>
        <w:rPr>
          <w:rFonts w:ascii="方正仿宋_GBK" w:hAnsi="Times New Roman" w:eastAsia="方正仿宋_GBK" w:cs="宋体"/>
          <w:sz w:val="32"/>
          <w:szCs w:val="32"/>
          <w:highlight w:val="yellow"/>
        </w:rPr>
      </w:pPr>
      <w:r>
        <w:rPr>
          <w:rFonts w:hint="eastAsia" w:ascii="方正楷体_GBK" w:hAnsi="楷体" w:eastAsia="方正楷体_GBK" w:cs="楷体"/>
          <w:b/>
          <w:bCs/>
          <w:sz w:val="32"/>
          <w:szCs w:val="32"/>
          <w:shd w:val="clear" w:color="auto" w:fill="FFFFFF"/>
        </w:rPr>
        <w:t>（二）单位绩效评价情况</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本单位没有委托第三方开展绩效评价。</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（三）财政绩效评价情况</w:t>
      </w:r>
    </w:p>
    <w:p>
      <w:pPr>
        <w:spacing w:line="420" w:lineRule="atLeast"/>
        <w:ind w:firstLine="48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区财政没有委托第三方对本单位项目开展重点绩效评价。</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六、名词解释</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Fonts w:ascii="方正楷体_GBK" w:hAnsi="楷体" w:eastAsia="方正楷体_GBK"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（二）事业收入</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（三）经营收入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（四）其他收入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（五）使用非财政拨款结余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（六）年初结转和结余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（七）结余分配</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（八）年末结转和结余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（九）基本支出</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（十）项目支出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（十一）经营支出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（十二）“三公”经费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（十三）机关运行经费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（十四）工资福利支出（支出经济分类科目类级）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（十五）商品和服务支出（支出经济分类科目类级）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60" w:lineRule="exact"/>
        <w:ind w:firstLine="642" w:firstLineChars="200"/>
        <w:jc w:val="both"/>
        <w:rPr>
          <w:rFonts w:hint="default" w:ascii="方正楷体_GBK" w:hAnsi="楷体" w:eastAsia="方正楷体_GBK" w:cs="楷体"/>
          <w:b/>
          <w:sz w:val="32"/>
          <w:szCs w:val="32"/>
          <w:shd w:val="clear" w:color="auto" w:fill="FFFFFF"/>
        </w:rPr>
      </w:pPr>
      <w:r>
        <w:rPr>
          <w:rStyle w:val="10"/>
          <w:rFonts w:ascii="方正楷体_GBK" w:hAnsi="楷体" w:eastAsia="方正楷体_GBK" w:cs="楷体"/>
          <w:sz w:val="32"/>
          <w:szCs w:val="32"/>
          <w:shd w:val="clear" w:color="auto" w:fill="FFFFFF"/>
        </w:rPr>
        <w:t>（十六）其他资本性支出（支出经济分类科目类级）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七、决算公开联系方式及信息反馈渠道</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本单位决算公开信息反馈和联系方式：023-72899001</w:t>
      </w:r>
    </w:p>
    <w:sectPr>
      <w:headerReference r:id="rId3" w:type="default"/>
      <w:footerReference r:id="rId4" w:type="default"/>
      <w:pgSz w:w="11850" w:h="16783"/>
      <w:pgMar w:top="1440" w:right="1800" w:bottom="1440" w:left="1800" w:header="0" w:footer="794"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4577804"/>
    </w:sdtPr>
    <w:sdtContent>
      <w:p>
        <w:pPr>
          <w:pStyle w:val="3"/>
          <w:jc w:val="center"/>
          <w:rPr>
            <w:rFonts w:hint="default"/>
          </w:rPr>
        </w:pPr>
        <w:r>
          <w:rPr>
            <w:sz w:val="24"/>
          </w:rPr>
          <w:fldChar w:fldCharType="begin"/>
        </w:r>
        <w:r>
          <w:rPr>
            <w:sz w:val="24"/>
          </w:rPr>
          <w:instrText xml:space="preserve">PAGE   \* MERGEFORMAT</w:instrText>
        </w:r>
        <w:r>
          <w:rPr>
            <w:sz w:val="24"/>
          </w:rPr>
          <w:fldChar w:fldCharType="separate"/>
        </w:r>
        <w:r>
          <w:rPr>
            <w:rFonts w:hint="default"/>
            <w:sz w:val="24"/>
            <w:lang w:val="zh-CN"/>
          </w:rPr>
          <w:t>-</w:t>
        </w:r>
        <w:r>
          <w:rPr>
            <w:rFonts w:hint="default"/>
            <w:sz w:val="24"/>
          </w:rPr>
          <w:t xml:space="preserve"> 1 -</w:t>
        </w:r>
        <w:r>
          <w:rPr>
            <w:sz w:val="24"/>
          </w:rPr>
          <w:fldChar w:fldCharType="end"/>
        </w:r>
      </w:p>
    </w:sdtContent>
  </w:sdt>
  <w:p>
    <w:pPr>
      <w:pStyle w:val="3"/>
      <w:jc w:val="both"/>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20"/>
  <w:drawingGridVerticalSpacing w:val="163"/>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56C25"/>
    <w:rsid w:val="000B30A8"/>
    <w:rsid w:val="000D7702"/>
    <w:rsid w:val="00121D30"/>
    <w:rsid w:val="0013686F"/>
    <w:rsid w:val="001B502F"/>
    <w:rsid w:val="002B0581"/>
    <w:rsid w:val="002B346C"/>
    <w:rsid w:val="002B4B5F"/>
    <w:rsid w:val="002D061D"/>
    <w:rsid w:val="002D605D"/>
    <w:rsid w:val="002E2DC4"/>
    <w:rsid w:val="002E5443"/>
    <w:rsid w:val="00306369"/>
    <w:rsid w:val="00311047"/>
    <w:rsid w:val="0031488B"/>
    <w:rsid w:val="003428AF"/>
    <w:rsid w:val="003836F8"/>
    <w:rsid w:val="003A7F9E"/>
    <w:rsid w:val="003B0FBF"/>
    <w:rsid w:val="003B3691"/>
    <w:rsid w:val="003D5BB1"/>
    <w:rsid w:val="00466752"/>
    <w:rsid w:val="004854EB"/>
    <w:rsid w:val="00486DB3"/>
    <w:rsid w:val="004A6E01"/>
    <w:rsid w:val="004C12FF"/>
    <w:rsid w:val="004C460B"/>
    <w:rsid w:val="00541340"/>
    <w:rsid w:val="00542F7B"/>
    <w:rsid w:val="005455F3"/>
    <w:rsid w:val="00550ABE"/>
    <w:rsid w:val="0057204C"/>
    <w:rsid w:val="005A4136"/>
    <w:rsid w:val="005A7355"/>
    <w:rsid w:val="005B023C"/>
    <w:rsid w:val="006137D7"/>
    <w:rsid w:val="00634FA8"/>
    <w:rsid w:val="0063613A"/>
    <w:rsid w:val="00637B29"/>
    <w:rsid w:val="00692129"/>
    <w:rsid w:val="006B7D85"/>
    <w:rsid w:val="006C05FC"/>
    <w:rsid w:val="006F67AA"/>
    <w:rsid w:val="007015C9"/>
    <w:rsid w:val="00792285"/>
    <w:rsid w:val="007A0D2E"/>
    <w:rsid w:val="007A3314"/>
    <w:rsid w:val="007B419D"/>
    <w:rsid w:val="00810986"/>
    <w:rsid w:val="00810F13"/>
    <w:rsid w:val="00863592"/>
    <w:rsid w:val="00944711"/>
    <w:rsid w:val="0097640C"/>
    <w:rsid w:val="00984852"/>
    <w:rsid w:val="009B67B8"/>
    <w:rsid w:val="00A03B1E"/>
    <w:rsid w:val="00A55CDA"/>
    <w:rsid w:val="00A67739"/>
    <w:rsid w:val="00A726A7"/>
    <w:rsid w:val="00A820B7"/>
    <w:rsid w:val="00A86F12"/>
    <w:rsid w:val="00AA1A45"/>
    <w:rsid w:val="00AC5566"/>
    <w:rsid w:val="00B03CCD"/>
    <w:rsid w:val="00B22E15"/>
    <w:rsid w:val="00B40D9A"/>
    <w:rsid w:val="00B41CF7"/>
    <w:rsid w:val="00BF2DB8"/>
    <w:rsid w:val="00BF5A85"/>
    <w:rsid w:val="00C6526A"/>
    <w:rsid w:val="00C96B11"/>
    <w:rsid w:val="00CA3426"/>
    <w:rsid w:val="00CC6B99"/>
    <w:rsid w:val="00D21062"/>
    <w:rsid w:val="00D37DBE"/>
    <w:rsid w:val="00D612E6"/>
    <w:rsid w:val="00D726FA"/>
    <w:rsid w:val="00D92A86"/>
    <w:rsid w:val="00DF5E14"/>
    <w:rsid w:val="00DF7706"/>
    <w:rsid w:val="00E43334"/>
    <w:rsid w:val="00E62FA8"/>
    <w:rsid w:val="00E654E2"/>
    <w:rsid w:val="00E76362"/>
    <w:rsid w:val="00E853C3"/>
    <w:rsid w:val="00EE1AD8"/>
    <w:rsid w:val="00F110A5"/>
    <w:rsid w:val="00F137D3"/>
    <w:rsid w:val="00F13C36"/>
    <w:rsid w:val="00F32C53"/>
    <w:rsid w:val="00F458A1"/>
    <w:rsid w:val="00F702F9"/>
    <w:rsid w:val="00F73F90"/>
    <w:rsid w:val="00F7623D"/>
    <w:rsid w:val="00FB3599"/>
    <w:rsid w:val="010713F8"/>
    <w:rsid w:val="01474EBF"/>
    <w:rsid w:val="014A185B"/>
    <w:rsid w:val="01F3521E"/>
    <w:rsid w:val="02D0323D"/>
    <w:rsid w:val="030E14D1"/>
    <w:rsid w:val="03B87EA0"/>
    <w:rsid w:val="03E3214F"/>
    <w:rsid w:val="044C50BA"/>
    <w:rsid w:val="05BC6D49"/>
    <w:rsid w:val="06194FF1"/>
    <w:rsid w:val="06A2550B"/>
    <w:rsid w:val="06F80EE2"/>
    <w:rsid w:val="07001CCA"/>
    <w:rsid w:val="07451A1F"/>
    <w:rsid w:val="075678DB"/>
    <w:rsid w:val="079D7CC7"/>
    <w:rsid w:val="07DC1471"/>
    <w:rsid w:val="07F6570B"/>
    <w:rsid w:val="08051BCA"/>
    <w:rsid w:val="086C12F4"/>
    <w:rsid w:val="08BA052C"/>
    <w:rsid w:val="08DB07BA"/>
    <w:rsid w:val="0969353F"/>
    <w:rsid w:val="098305D0"/>
    <w:rsid w:val="098A0877"/>
    <w:rsid w:val="09EF30E0"/>
    <w:rsid w:val="0A056459"/>
    <w:rsid w:val="0A5C4B69"/>
    <w:rsid w:val="0A86124A"/>
    <w:rsid w:val="0AB35AEF"/>
    <w:rsid w:val="0AB54CC0"/>
    <w:rsid w:val="0B9335CE"/>
    <w:rsid w:val="0BD83ED1"/>
    <w:rsid w:val="0BE169AF"/>
    <w:rsid w:val="0C7927C4"/>
    <w:rsid w:val="0C9B098C"/>
    <w:rsid w:val="0CCC27CF"/>
    <w:rsid w:val="0D673E11"/>
    <w:rsid w:val="0DDA54E4"/>
    <w:rsid w:val="0E3A5F83"/>
    <w:rsid w:val="0E74421A"/>
    <w:rsid w:val="0F2D6D38"/>
    <w:rsid w:val="0F7D26A0"/>
    <w:rsid w:val="0F836721"/>
    <w:rsid w:val="0F9957FF"/>
    <w:rsid w:val="0FA25D96"/>
    <w:rsid w:val="107B59E5"/>
    <w:rsid w:val="10EC0126"/>
    <w:rsid w:val="10F70B9A"/>
    <w:rsid w:val="111445C7"/>
    <w:rsid w:val="114278C6"/>
    <w:rsid w:val="1158083A"/>
    <w:rsid w:val="11643A4B"/>
    <w:rsid w:val="11ED0F98"/>
    <w:rsid w:val="11F03528"/>
    <w:rsid w:val="122252B8"/>
    <w:rsid w:val="12C921C4"/>
    <w:rsid w:val="13341D00"/>
    <w:rsid w:val="13871C70"/>
    <w:rsid w:val="13A71CB4"/>
    <w:rsid w:val="13AF1D43"/>
    <w:rsid w:val="13CE1647"/>
    <w:rsid w:val="13FD55AB"/>
    <w:rsid w:val="14200702"/>
    <w:rsid w:val="163A6CEE"/>
    <w:rsid w:val="16567A2C"/>
    <w:rsid w:val="166A1BCF"/>
    <w:rsid w:val="173708E3"/>
    <w:rsid w:val="17C374FC"/>
    <w:rsid w:val="17C44A55"/>
    <w:rsid w:val="17E07B9F"/>
    <w:rsid w:val="189079DC"/>
    <w:rsid w:val="189B0D0B"/>
    <w:rsid w:val="18B43F7C"/>
    <w:rsid w:val="194A1770"/>
    <w:rsid w:val="19B906A4"/>
    <w:rsid w:val="1ACB103B"/>
    <w:rsid w:val="1B6F15B6"/>
    <w:rsid w:val="1BAA2EDC"/>
    <w:rsid w:val="1C4E7AA6"/>
    <w:rsid w:val="1C5C0973"/>
    <w:rsid w:val="1CA55E64"/>
    <w:rsid w:val="1D014A01"/>
    <w:rsid w:val="1D022362"/>
    <w:rsid w:val="1D1B04B0"/>
    <w:rsid w:val="1DBD6767"/>
    <w:rsid w:val="1DC52125"/>
    <w:rsid w:val="1DD26311"/>
    <w:rsid w:val="1E374ACB"/>
    <w:rsid w:val="1E5E27E3"/>
    <w:rsid w:val="1EC36887"/>
    <w:rsid w:val="1ECF0A66"/>
    <w:rsid w:val="1EF67CA4"/>
    <w:rsid w:val="1F020D3A"/>
    <w:rsid w:val="1F2C5189"/>
    <w:rsid w:val="1F4B0B02"/>
    <w:rsid w:val="1FBB35CD"/>
    <w:rsid w:val="1FCD26AF"/>
    <w:rsid w:val="1FF74E40"/>
    <w:rsid w:val="20642787"/>
    <w:rsid w:val="21556F04"/>
    <w:rsid w:val="21C21FA8"/>
    <w:rsid w:val="22403BD3"/>
    <w:rsid w:val="23DA37D9"/>
    <w:rsid w:val="24491CB2"/>
    <w:rsid w:val="24B92327"/>
    <w:rsid w:val="24C14514"/>
    <w:rsid w:val="2533755C"/>
    <w:rsid w:val="25791755"/>
    <w:rsid w:val="26396DF4"/>
    <w:rsid w:val="27167136"/>
    <w:rsid w:val="27B23302"/>
    <w:rsid w:val="29310A5F"/>
    <w:rsid w:val="29C37A35"/>
    <w:rsid w:val="2A076083"/>
    <w:rsid w:val="2A385409"/>
    <w:rsid w:val="2A73162E"/>
    <w:rsid w:val="2B076563"/>
    <w:rsid w:val="2B09598D"/>
    <w:rsid w:val="2B167953"/>
    <w:rsid w:val="2B200583"/>
    <w:rsid w:val="2B321468"/>
    <w:rsid w:val="2B8209DE"/>
    <w:rsid w:val="2BEA14BD"/>
    <w:rsid w:val="2BEF2AD0"/>
    <w:rsid w:val="2C6762A3"/>
    <w:rsid w:val="2EBF7B3E"/>
    <w:rsid w:val="2EDE1934"/>
    <w:rsid w:val="2EF3156C"/>
    <w:rsid w:val="2F9F7DFC"/>
    <w:rsid w:val="2FCA4B37"/>
    <w:rsid w:val="2FE029D7"/>
    <w:rsid w:val="2FF06E00"/>
    <w:rsid w:val="2FF61796"/>
    <w:rsid w:val="30562E26"/>
    <w:rsid w:val="30586FEC"/>
    <w:rsid w:val="30EC7046"/>
    <w:rsid w:val="315F0B22"/>
    <w:rsid w:val="319D022C"/>
    <w:rsid w:val="31C90022"/>
    <w:rsid w:val="31D84415"/>
    <w:rsid w:val="32285F6F"/>
    <w:rsid w:val="32770556"/>
    <w:rsid w:val="329C0913"/>
    <w:rsid w:val="32AA0460"/>
    <w:rsid w:val="331A420C"/>
    <w:rsid w:val="332240CB"/>
    <w:rsid w:val="3337290D"/>
    <w:rsid w:val="33E31118"/>
    <w:rsid w:val="33EF7674"/>
    <w:rsid w:val="342D7BC6"/>
    <w:rsid w:val="352930DB"/>
    <w:rsid w:val="35573069"/>
    <w:rsid w:val="355F6038"/>
    <w:rsid w:val="358C217E"/>
    <w:rsid w:val="35937598"/>
    <w:rsid w:val="368354BE"/>
    <w:rsid w:val="36C9128A"/>
    <w:rsid w:val="372E3953"/>
    <w:rsid w:val="37841E99"/>
    <w:rsid w:val="37BF1123"/>
    <w:rsid w:val="383C3F15"/>
    <w:rsid w:val="384224E3"/>
    <w:rsid w:val="38BE4696"/>
    <w:rsid w:val="3939115E"/>
    <w:rsid w:val="39750BA8"/>
    <w:rsid w:val="39B82A39"/>
    <w:rsid w:val="39C42CA8"/>
    <w:rsid w:val="39DC4FD6"/>
    <w:rsid w:val="39F03D7A"/>
    <w:rsid w:val="39F33306"/>
    <w:rsid w:val="3A2C1C67"/>
    <w:rsid w:val="3B1705E5"/>
    <w:rsid w:val="3B18334B"/>
    <w:rsid w:val="3B36794F"/>
    <w:rsid w:val="3C566AD6"/>
    <w:rsid w:val="3C6A5B02"/>
    <w:rsid w:val="3CD76DCB"/>
    <w:rsid w:val="3D2757A1"/>
    <w:rsid w:val="3D3D4FC4"/>
    <w:rsid w:val="3DC96A23"/>
    <w:rsid w:val="3DDF3AB1"/>
    <w:rsid w:val="3E1D0952"/>
    <w:rsid w:val="3E42660A"/>
    <w:rsid w:val="3E7555B1"/>
    <w:rsid w:val="3E787ED9"/>
    <w:rsid w:val="3EEC37F3"/>
    <w:rsid w:val="3F032E93"/>
    <w:rsid w:val="3F0527E5"/>
    <w:rsid w:val="3F5C771C"/>
    <w:rsid w:val="3F694D83"/>
    <w:rsid w:val="3F885DCC"/>
    <w:rsid w:val="3FCD675E"/>
    <w:rsid w:val="4004000C"/>
    <w:rsid w:val="411B6CE5"/>
    <w:rsid w:val="412070D7"/>
    <w:rsid w:val="41314E40"/>
    <w:rsid w:val="417533A3"/>
    <w:rsid w:val="41E0734B"/>
    <w:rsid w:val="426554D0"/>
    <w:rsid w:val="426C1EA8"/>
    <w:rsid w:val="42736402"/>
    <w:rsid w:val="42E86A87"/>
    <w:rsid w:val="430574E2"/>
    <w:rsid w:val="43307B09"/>
    <w:rsid w:val="438D0E97"/>
    <w:rsid w:val="43BB152F"/>
    <w:rsid w:val="44C37687"/>
    <w:rsid w:val="45CB699A"/>
    <w:rsid w:val="465B470D"/>
    <w:rsid w:val="469D6AD4"/>
    <w:rsid w:val="471E6C84"/>
    <w:rsid w:val="47300860"/>
    <w:rsid w:val="4748792B"/>
    <w:rsid w:val="47495697"/>
    <w:rsid w:val="475D719D"/>
    <w:rsid w:val="47674801"/>
    <w:rsid w:val="48225EF7"/>
    <w:rsid w:val="488F422B"/>
    <w:rsid w:val="48E36915"/>
    <w:rsid w:val="495C4A24"/>
    <w:rsid w:val="497135DF"/>
    <w:rsid w:val="49B248E9"/>
    <w:rsid w:val="4A263DF2"/>
    <w:rsid w:val="4A6F12D4"/>
    <w:rsid w:val="4A6F6675"/>
    <w:rsid w:val="4B135857"/>
    <w:rsid w:val="4B23786A"/>
    <w:rsid w:val="4B4A6379"/>
    <w:rsid w:val="4B505AFE"/>
    <w:rsid w:val="4B7951CB"/>
    <w:rsid w:val="4B7C315C"/>
    <w:rsid w:val="4B98414C"/>
    <w:rsid w:val="4CD07EB1"/>
    <w:rsid w:val="4D5E7F3F"/>
    <w:rsid w:val="4DAC4ACA"/>
    <w:rsid w:val="4DBE01D2"/>
    <w:rsid w:val="4EFC6D10"/>
    <w:rsid w:val="4F0C6BA3"/>
    <w:rsid w:val="4F10477D"/>
    <w:rsid w:val="4F186D58"/>
    <w:rsid w:val="4FD96A61"/>
    <w:rsid w:val="4FEA65B7"/>
    <w:rsid w:val="50F06B6E"/>
    <w:rsid w:val="52234D33"/>
    <w:rsid w:val="522F6E0C"/>
    <w:rsid w:val="52463BA1"/>
    <w:rsid w:val="52F163D4"/>
    <w:rsid w:val="531A2DB4"/>
    <w:rsid w:val="53BA4A4B"/>
    <w:rsid w:val="53C0244D"/>
    <w:rsid w:val="53DD4D4E"/>
    <w:rsid w:val="53E578CE"/>
    <w:rsid w:val="53F74411"/>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5F3CF9"/>
    <w:rsid w:val="5AD134D8"/>
    <w:rsid w:val="5AF243A6"/>
    <w:rsid w:val="5B6503B1"/>
    <w:rsid w:val="5B976276"/>
    <w:rsid w:val="5C263CE4"/>
    <w:rsid w:val="5C5D2777"/>
    <w:rsid w:val="5CE94618"/>
    <w:rsid w:val="5CF66BF3"/>
    <w:rsid w:val="5D290C69"/>
    <w:rsid w:val="5D833936"/>
    <w:rsid w:val="5F2D4A41"/>
    <w:rsid w:val="60C74F6C"/>
    <w:rsid w:val="61025A59"/>
    <w:rsid w:val="613D5BBC"/>
    <w:rsid w:val="61536C39"/>
    <w:rsid w:val="61BA0D34"/>
    <w:rsid w:val="62944DD7"/>
    <w:rsid w:val="6319381F"/>
    <w:rsid w:val="63236436"/>
    <w:rsid w:val="63C25DC5"/>
    <w:rsid w:val="63C62057"/>
    <w:rsid w:val="64571EF5"/>
    <w:rsid w:val="6489060F"/>
    <w:rsid w:val="64FB113D"/>
    <w:rsid w:val="656152C6"/>
    <w:rsid w:val="6587477F"/>
    <w:rsid w:val="658C3A08"/>
    <w:rsid w:val="65C031CA"/>
    <w:rsid w:val="65CE6852"/>
    <w:rsid w:val="66267C04"/>
    <w:rsid w:val="663F505A"/>
    <w:rsid w:val="66495825"/>
    <w:rsid w:val="669339C5"/>
    <w:rsid w:val="66967186"/>
    <w:rsid w:val="66EE5541"/>
    <w:rsid w:val="67924660"/>
    <w:rsid w:val="67D03B49"/>
    <w:rsid w:val="68407834"/>
    <w:rsid w:val="6883293E"/>
    <w:rsid w:val="688412AD"/>
    <w:rsid w:val="68EB1B71"/>
    <w:rsid w:val="69475C96"/>
    <w:rsid w:val="694E63EC"/>
    <w:rsid w:val="6AAD2300"/>
    <w:rsid w:val="6ABA315C"/>
    <w:rsid w:val="6B474EF5"/>
    <w:rsid w:val="6BBF53FD"/>
    <w:rsid w:val="6C560CAE"/>
    <w:rsid w:val="6C576495"/>
    <w:rsid w:val="6D903FF5"/>
    <w:rsid w:val="6DA955B8"/>
    <w:rsid w:val="6DE23CBA"/>
    <w:rsid w:val="6DE346AB"/>
    <w:rsid w:val="6DE5391A"/>
    <w:rsid w:val="6E2C2D3D"/>
    <w:rsid w:val="6EFD1324"/>
    <w:rsid w:val="6F5A53AC"/>
    <w:rsid w:val="6FAC003D"/>
    <w:rsid w:val="6FE55E12"/>
    <w:rsid w:val="6FFB2E76"/>
    <w:rsid w:val="708F6F7F"/>
    <w:rsid w:val="7099362B"/>
    <w:rsid w:val="70D94BD3"/>
    <w:rsid w:val="71475F11"/>
    <w:rsid w:val="71C34D91"/>
    <w:rsid w:val="72DB435C"/>
    <w:rsid w:val="72E2613A"/>
    <w:rsid w:val="72F771F4"/>
    <w:rsid w:val="736650B0"/>
    <w:rsid w:val="73934AD2"/>
    <w:rsid w:val="750837F0"/>
    <w:rsid w:val="754758CF"/>
    <w:rsid w:val="7549405E"/>
    <w:rsid w:val="764F62AB"/>
    <w:rsid w:val="765C45EC"/>
    <w:rsid w:val="768A7619"/>
    <w:rsid w:val="76DE4747"/>
    <w:rsid w:val="76F9488E"/>
    <w:rsid w:val="772E1EBA"/>
    <w:rsid w:val="77EB79F7"/>
    <w:rsid w:val="781E4D75"/>
    <w:rsid w:val="796D60A4"/>
    <w:rsid w:val="79A031D5"/>
    <w:rsid w:val="79A97CE5"/>
    <w:rsid w:val="7A1525F7"/>
    <w:rsid w:val="7AFBC8D4"/>
    <w:rsid w:val="7B420052"/>
    <w:rsid w:val="7B861484"/>
    <w:rsid w:val="7BB34647"/>
    <w:rsid w:val="7BD06A28"/>
    <w:rsid w:val="7C3A7C0B"/>
    <w:rsid w:val="7C5248E4"/>
    <w:rsid w:val="7C566698"/>
    <w:rsid w:val="7C5866A3"/>
    <w:rsid w:val="7D7406BB"/>
    <w:rsid w:val="7DE94331"/>
    <w:rsid w:val="7F446A19"/>
    <w:rsid w:val="7F74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rPr>
      <w:sz w:val="18"/>
      <w:szCs w:val="18"/>
    </w:rPr>
  </w:style>
  <w:style w:type="paragraph" w:styleId="3">
    <w:name w:val="footer"/>
    <w:basedOn w:val="1"/>
    <w:link w:val="18"/>
    <w:qFormat/>
    <w:uiPriority w:val="99"/>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character" w:styleId="11">
    <w:name w:val="page number"/>
    <w:basedOn w:val="9"/>
    <w:qFormat/>
    <w:uiPriority w:val="0"/>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9"/>
    <w:link w:val="2"/>
    <w:qFormat/>
    <w:uiPriority w:val="0"/>
    <w:rPr>
      <w:rFonts w:ascii="宋体" w:hAnsi="宋体"/>
      <w:sz w:val="18"/>
      <w:szCs w:val="18"/>
    </w:r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 w:type="character" w:customStyle="1" w:styleId="18">
    <w:name w:val="页脚 Char"/>
    <w:basedOn w:val="9"/>
    <w:link w:val="3"/>
    <w:qFormat/>
    <w:uiPriority w:val="99"/>
    <w:rPr>
      <w:rFonts w:ascii="宋体" w:hAnsi="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4651</Words>
  <Characters>617</Characters>
  <Lines>5</Lines>
  <Paragraphs>10</Paragraphs>
  <TotalTime>82</TotalTime>
  <ScaleCrop>false</ScaleCrop>
  <LinksUpToDate>false</LinksUpToDate>
  <CharactersWithSpaces>5258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苏娟</cp:lastModifiedBy>
  <cp:lastPrinted>2025-09-29T16:39:00Z</cp:lastPrinted>
  <dcterms:modified xsi:type="dcterms:W3CDTF">2025-12-12T17:59:52Z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BB46EABDBB2749749395447164B066B3_12</vt:lpwstr>
  </property>
</Properties>
</file>