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  <w:t>2026年区文化旅游委系统目标考核任务分解表</w:t>
      </w:r>
    </w:p>
    <w:bookmarkEnd w:id="0"/>
    <w:p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8"/>
        <w:tblW w:w="14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7341"/>
        <w:gridCol w:w="1114"/>
        <w:gridCol w:w="2285"/>
        <w:gridCol w:w="2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  <w:t>指标内容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  <w:t>牵头领导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  <w:t>责任科室/单位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加快创建武陵山国家级旅游度假区，做深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洞·梁·谷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核心旅游资源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况黎影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资源科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推出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503地心漫游环线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等精品旅游线路5条。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况黎影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资源科、宣传科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提质举办白鹤梁旅游文化节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陈熙尧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机关各科室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持续提升半程马拉松等赛事活动影响力、火热度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孙莉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群体科、竞训科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全年接待游客量、旅游总花费均增长10%以上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产业科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创建国家文物保护利用示范区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张军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文物科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推进白鹤梁题刻与埃及尼罗尺联合申遗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孙莉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申遗办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加快小田溪巴文明国家考古遗址公园集群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张军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文物科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巴文化生态保护区前期工作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张军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公服科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开展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文化进万家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惠民活动1200场次。新增公共文化空间2处。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张军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公服科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支持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巴清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涪陵的荔枝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等本土题材文旅影视剧创作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张军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公服科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高水平举办重庆市第三届智力运动会、区七运会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孙莉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竞训科、群体科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新增全民健身点15个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孙莉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群体科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政府工作报告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公共体育设施免费开放率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孙莉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群体科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民生报表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每季度规上文化企业总产出增速7%以上、季度文化报表考核A档；全年文化和旅游产业增加值增速6%以上、年度文化报表考核A档。全年文化旅游全口径完成固定资产投资增速25%、力争年度文化报表考核A档。体育领域固定资产投资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产业科、公服科、群体科、文物科、资源科、旅发科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文化报表、市体育局专项考核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全年文化、体育和娱乐业规上企业营收增速35%、事业单位工资总额增速9%。新升规企业2家。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产业科、公服科、旅发科、群体科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区发改委专项考核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牵头项目完成固定资产投资2亿元，区政府重点项目完成固定资产投资3亿元，储备争取中央预算内资金及超长期特别国债成熟项目4个。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产业科、公服科、群体科、文物科、资源科、旅发科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区发改委专项考核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数字重庆建设考核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产业科、机关各科室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区大数据局专项考核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19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color w:val="171A1D"/>
                <w:spacing w:val="0"/>
                <w:sz w:val="24"/>
                <w:szCs w:val="24"/>
              </w:rPr>
              <w:t>平安建设考核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李行兵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市场科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区委政法委专项考核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20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全区安全生产考核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李行兵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市场科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区应急局专项考核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21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suppressAutoHyphens w:val="0"/>
              <w:spacing w:line="480" w:lineRule="auto"/>
              <w:ind w:left="0" w:leftChars="0" w:firstLine="0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招引市外项目13个，新开工项目13个，协议资金26亿元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况黎影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</w:rPr>
              <w:t>旅发科、公服科、文物科、群体科、竞训科、资源科、产业科、广电科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区招商局专项考核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22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文、博、图、美免费开放绩效评价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张军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区文化馆、区博物馆、区图书馆、区美术馆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市文化旅游委专项考核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群众身边不正之风集中整治（导游强制消费问题）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李行兵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执法支队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区纪委专项考核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中央巡视整改落实方案涪陵区细化方案第30条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组教科、办公室、文物科、旅发中心、旅发科、资源科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中央巡视整改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中央巡视整改落实方案涪陵区细化方案第45条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组教科、公服科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中央巡视整改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  <w:t>26</w:t>
            </w:r>
          </w:p>
        </w:tc>
        <w:tc>
          <w:tcPr>
            <w:tcW w:w="73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left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三个一批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加快实施改革项目（探索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双培双带</w:t>
            </w:r>
            <w:r>
              <w:rPr>
                <w:rFonts w:hint="eastAsia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val="en-US" w:eastAsia="zh-CN"/>
              </w:rPr>
              <w:t>非遗传承机制、构建体旅融合新业态、健全深化巴文化研究机制）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杨哲</w:t>
            </w:r>
          </w:p>
        </w:tc>
        <w:tc>
          <w:tcPr>
            <w:tcW w:w="2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法规科、文研中心、群体科、文物科</w:t>
            </w:r>
          </w:p>
        </w:tc>
        <w:tc>
          <w:tcPr>
            <w:tcW w:w="2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4"/>
                <w:szCs w:val="24"/>
                <w:highlight w:val="none"/>
                <w:lang w:eastAsia="zh-CN"/>
              </w:rPr>
              <w:t>区委改革办专项考核</w:t>
            </w:r>
          </w:p>
        </w:tc>
      </w:tr>
    </w:tbl>
    <w:p>
      <w:pPr>
        <w:rPr>
          <w:rFonts w:hint="default" w:ascii="Times New Roman" w:hAnsi="Times New Roman" w:eastAsia="方正黑体_GBK" w:cs="Times New Roman"/>
          <w:sz w:val="32"/>
          <w:szCs w:val="40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2098" w:right="1474" w:bottom="1984" w:left="1587" w:header="851" w:footer="1701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altName w:val="方正黑体_GBK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PMingLiU">
    <w:altName w:val="Noto Sans CJK SC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兰亭黑_GBK">
    <w:altName w:val="方正黑体_GBK"/>
    <w:panose1 w:val="02000000000000000000"/>
    <w:charset w:val="00"/>
    <w:family w:val="script"/>
    <w:pitch w:val="default"/>
    <w:sig w:usb0="00000000" w:usb1="00000000" w:usb2="0008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right="210" w:rightChars="100" w:firstLine="280" w:firstLineChars="100"/>
                            <w:rPr>
                              <w:rStyle w:val="10"/>
                              <w:rFonts w:hint="default" w:ascii="Times New Roman" w:hAnsi="Times New Roman" w:eastAsia="方正仿宋_GBK" w:cs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right="210" w:rightChars="100" w:firstLine="280" w:firstLineChars="100"/>
                      <w:rPr>
                        <w:rStyle w:val="10"/>
                        <w:rFonts w:hint="default" w:ascii="Times New Roman" w:hAnsi="Times New Roman" w:eastAsia="方正仿宋_GBK" w:cs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000000"/>
    <w:rsid w:val="54E901C8"/>
    <w:rsid w:val="6B6E0CA4"/>
    <w:rsid w:val="FEA39C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iPriority w:val="0"/>
    <w:pPr>
      <w:widowControl w:val="0"/>
      <w:spacing w:before="0" w:after="120" w:line="480" w:lineRule="auto"/>
      <w:ind w:left="200" w:leftChars="200" w:right="0"/>
      <w:jc w:val="both"/>
    </w:pPr>
    <w:rPr>
      <w:rFonts w:ascii="Calibri" w:hAnsi="Calibri" w:eastAsia="方正仿宋_GBK" w:cs="Calibri"/>
      <w:kern w:val="2"/>
      <w:sz w:val="32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BodyText"/>
    <w:basedOn w:val="1"/>
    <w:qFormat/>
    <w:uiPriority w:val="0"/>
    <w:pPr>
      <w:ind w:left="114"/>
      <w:textAlignment w:val="baseline"/>
    </w:pPr>
    <w:rPr>
      <w:rFonts w:ascii="PMingLiU" w:hAnsi="PMingLiU" w:eastAsia="PMingLiU"/>
      <w:sz w:val="30"/>
      <w:szCs w:val="30"/>
    </w:rPr>
  </w:style>
  <w:style w:type="character" w:customStyle="1" w:styleId="12">
    <w:name w:val="font61"/>
    <w:basedOn w:val="9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660</Characters>
  <Lines>0</Lines>
  <Paragraphs>2</Paragraphs>
  <TotalTime>3</TotalTime>
  <ScaleCrop>false</ScaleCrop>
  <LinksUpToDate>false</LinksUpToDate>
  <CharactersWithSpaces>880</CharactersWithSpaces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2026-01-17T02:26:00Z</dcterms:created>
  <dc:creator>氓之蚩蚩 </dc:creator>
  <cp:lastModifiedBy>孙丽</cp:lastModifiedBy>
  <cp:lastPrinted>2026-03-03T07:15:00Z</cp:lastPrinted>
  <dcterms:modified xsi:type="dcterms:W3CDTF">2026-04-01T16:53:54Z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90726166B544C1E7D2996969BADD71D9</vt:lpwstr>
  </property>
  <property fmtid="{D5CDD505-2E9C-101B-9397-08002B2CF9AE}" pid="4" name="KSOTemplateDocerSaveRecord">
    <vt:lpwstr>eyJoZGlkIjoiYmYxMTM1Yjg2NjFiNzE0ZTE1NWE1Y2VjZGUzMmE3ODMiLCJ1c2VySWQiOiIzMDE1NTkzMTEifQ==</vt:lpwstr>
  </property>
</Properties>
</file>