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ackground w:color="FFFFFF"/>
  <w:body>
    <w:p>
      <w:pPr>
        <w:spacing w:line="600" w:lineRule="exact"/>
        <w:rPr>
          <w:rFonts w:ascii="Times New Roman" w:eastAsia="方正小标宋_GBK" w:cs="Times New Roman" w:hAnsi="Times New Roman"/>
          <w:sz w:val="44"/>
        </w:rPr>
      </w:pPr>
    </w:p>
    <w:p>
      <w:pPr>
        <w:spacing w:line="600" w:lineRule="exact"/>
        <w:rPr>
          <w:rFonts w:ascii="Times New Roman" w:eastAsia="方正小标宋_GBK" w:cs="Times New Roman" w:hAnsi="Times New Roman"/>
          <w:sz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Times New Roman" w:eastAsia="方正小标宋_GBK" w:cs="Times New Roman" w:hAnsi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Times New Roman" w:eastAsia="方正小标宋_GBK" w:cs="Times New Roman" w:hAnsi="Times New Roman"/>
          <w:sz w:val="44"/>
          <w:szCs w:val="44"/>
        </w:rPr>
      </w:pPr>
      <w:bookmarkStart w:id="0" w:name="_GoBack"/>
      <w:bookmarkEnd w:id="0"/>
      <w:r>
        <w:rPr>
          <w:rFonts w:ascii="Times New Roman" w:eastAsia="方正小标宋_GBK" w:cs="Times New Roman" w:hAnsi="Times New Roman"/>
          <w:sz w:val="44"/>
          <w:szCs w:val="44"/>
        </w:rPr>
        <w:t>重庆市涪陵区住房和城乡建设委员会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Times New Roman" w:eastAsia="方正小标宋_GBK" w:cs="Times New Roman" w:hAnsi="Times New Roman"/>
          <w:sz w:val="44"/>
          <w:szCs w:val="44"/>
        </w:rPr>
      </w:pPr>
      <w:r>
        <w:rPr>
          <w:rFonts w:ascii="Times New Roman" w:eastAsia="方正小标宋_GBK" w:cs="Times New Roman" w:hAnsi="Times New Roman"/>
          <w:sz w:val="44"/>
          <w:szCs w:val="44"/>
        </w:rPr>
        <w:t>关于废除《重庆市涪陵区住房制度改革领导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Times New Roman" w:eastAsia="方正小标宋_GBK" w:cs="Times New Roman" w:hAnsi="Times New Roman"/>
          <w:sz w:val="44"/>
          <w:szCs w:val="44"/>
        </w:rPr>
      </w:pPr>
      <w:r>
        <w:rPr>
          <w:rFonts w:ascii="Times New Roman" w:eastAsia="方正小标宋_GBK" w:cs="Times New Roman" w:hAnsi="Times New Roman"/>
          <w:sz w:val="44"/>
          <w:szCs w:val="44"/>
        </w:rPr>
        <w:t>小组关于印发〈重庆市涪陵区公有住房售后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Times New Roman" w:eastAsia="方正小标宋_GBK" w:cs="Times New Roman" w:hAnsi="Times New Roman"/>
          <w:sz w:val="44"/>
          <w:szCs w:val="44"/>
        </w:rPr>
      </w:pPr>
      <w:r>
        <w:rPr>
          <w:rFonts w:ascii="Times New Roman" w:eastAsia="方正小标宋_GBK" w:cs="Times New Roman" w:hAnsi="Times New Roman"/>
          <w:sz w:val="44"/>
          <w:szCs w:val="44"/>
        </w:rPr>
        <w:t>维修服务管理暂行办法〉的通知》（涪房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Times New Roman" w:eastAsia="方正小标宋_GBK" w:cs="Times New Roman" w:hAnsi="Times New Roman"/>
          <w:sz w:val="44"/>
          <w:szCs w:val="44"/>
        </w:rPr>
      </w:pPr>
      <w:r>
        <w:rPr>
          <w:rFonts w:ascii="Times New Roman" w:eastAsia="方正小标宋_GBK" w:cs="Times New Roman" w:hAnsi="Times New Roman"/>
          <w:sz w:val="44"/>
          <w:szCs w:val="44"/>
        </w:rPr>
        <w:t>改发〔1999〕8号）的通知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Times New Roman" w:eastAsia="方正小标宋_GBK" w:cs="Times New Roman" w:hAnsi="Times New Roman"/>
          <w:sz w:val="44"/>
          <w:szCs w:val="44"/>
        </w:rPr>
      </w:pPr>
    </w:p>
    <w:p>
      <w:pPr>
        <w:jc w:val="center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涪</w:t>
      </w:r>
      <w:r>
        <w:rPr>
          <w:rFonts w:ascii="Times New Roman" w:eastAsia="方正仿宋_GBK" w:cs="Times New Roman" w:hAnsi="Times New Roman"/>
          <w:sz w:val="32"/>
          <w:szCs w:val="32"/>
          <w:lang w:eastAsia="zh-CN"/>
        </w:rPr>
        <w:t>陵</w:t>
      </w:r>
      <w:r>
        <w:rPr>
          <w:rFonts w:ascii="Times New Roman" w:eastAsia="方正仿宋_GBK" w:cs="Times New Roman" w:hAnsi="Times New Roman"/>
          <w:sz w:val="32"/>
          <w:szCs w:val="32"/>
        </w:rPr>
        <w:t>住建发〔</w:t>
      </w:r>
      <w:r>
        <w:rPr>
          <w:rFonts w:ascii="Times New Roman" w:eastAsia="方正仿宋_GBK" w:cs="Times New Roman" w:hAnsi="Times New Roman"/>
          <w:sz w:val="32"/>
          <w:szCs w:val="32"/>
          <w:lang w:eastAsia="zh-CN"/>
        </w:rPr>
        <w:t>2026</w:t>
      </w:r>
      <w:r>
        <w:rPr>
          <w:rFonts w:ascii="Times New Roman" w:eastAsia="方正仿宋_GBK" w:cs="Times New Roman" w:hAnsi="Times New Roman"/>
          <w:sz w:val="32"/>
          <w:szCs w:val="32"/>
        </w:rPr>
        <w:t>〕</w:t>
      </w:r>
      <w:r>
        <w:rPr>
          <w:rFonts w:ascii="Times New Roman" w:eastAsia="方正仿宋_GBK" w:cs="Times New Roman" w:hAnsi="Times New Roman"/>
          <w:sz w:val="32"/>
          <w:szCs w:val="32"/>
          <w:lang w:val="en-US" w:eastAsia="zh-CN"/>
        </w:rPr>
        <w:t>54</w:t>
      </w:r>
      <w:r>
        <w:rPr>
          <w:rFonts w:ascii="Times New Roman" w:eastAsia="方正仿宋_GBK" w:cs="Times New Roman" w:hAnsi="Times New Roman"/>
          <w:sz w:val="32"/>
          <w:szCs w:val="32"/>
        </w:rPr>
        <w:t>号</w:t>
      </w:r>
    </w:p>
    <w:p>
      <w:pPr>
        <w:jc w:val="center"/>
        <w:rPr>
          <w:rFonts w:ascii="Times New Roman" w:cs="Times New Roman" w:hAnsi="Times New Roman"/>
          <w:color w:val="000000"/>
          <w:sz w:val="32"/>
        </w:rPr>
      </w:pPr>
    </w:p>
    <w:p>
      <w:pPr>
        <w:jc w:val="left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涪陵高新区（涪陵综保区）管委会，各镇人民政府、街道办事处，区政府各部门，有关单位：</w:t>
      </w:r>
    </w:p>
    <w:p>
      <w:pPr>
        <w:ind w:firstLineChars="200" w:firstLine="640"/>
        <w:jc w:val="left"/>
        <w:rPr>
          <w:rFonts w:eastAsia="方正仿宋_GBK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因《重庆市涪陵区住房制度改革领导小组关于印发〈重庆市涪陵区公有住房售后维修服务管理暂行办法〉的通知》（涪房改发〔1999〕8号）所依据的政策环境和实际情况已发生重大变化，文件部分内容与现行法律法规不一致，已不适应当前公有住房管理工作需要。经研究，决定对该文件予以废除。文件废除后，我区公有住房售后维修服务管理相关工作，按照现行法律法规规定执行。本通知自印发之日起施行。</w:t>
      </w:r>
    </w:p>
    <w:p>
      <w:pPr>
        <w:wordWrap w:val="0"/>
        <w:jc w:val="right"/>
        <w:rPr>
          <w:rFonts w:ascii="Times New Roman" w:eastAsia="方正仿宋_GBK" w:cs="Times New Roman" w:hAnsi="Times New Roman"/>
          <w:sz w:val="32"/>
          <w:szCs w:val="32"/>
        </w:rPr>
      </w:pPr>
    </w:p>
    <w:p>
      <w:pPr>
        <w:wordWrap w:val="0"/>
        <w:jc w:val="right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 xml:space="preserve">重庆市涪陵区住房和城乡建设委员会   </w:t>
      </w:r>
    </w:p>
    <w:p>
      <w:pPr>
        <w:wordWrap w:val="0"/>
        <w:ind w:rightChars="400" w:right="840" w:firstLineChars="200" w:firstLine="640"/>
        <w:jc w:val="right"/>
        <w:rPr>
          <w:rFonts w:ascii="Times New Roman" w:eastAsia="方正仿宋_GBK" w:cs="Times New Roman" w:hAnsi="Times New Roman"/>
          <w:sz w:val="32"/>
          <w:szCs w:val="32"/>
          <w:lang w:val="en-US" w:eastAsia="zh-CN"/>
        </w:rPr>
      </w:pPr>
      <w:r>
        <w:rPr>
          <w:rFonts w:ascii="Times New Roman" w:eastAsia="方正仿宋_GBK" w:cs="Times New Roman" w:hAnsi="Times New Roman"/>
          <w:sz w:val="32"/>
          <w:szCs w:val="32"/>
          <w:lang w:eastAsia="zh-CN"/>
        </w:rPr>
        <w:t>2026</w:t>
      </w:r>
      <w:r>
        <w:rPr>
          <w:rFonts w:ascii="Times New Roman" w:eastAsia="方正仿宋_GBK" w:cs="Times New Roman" w:hAnsi="Times New Roman"/>
          <w:sz w:val="32"/>
          <w:szCs w:val="32"/>
        </w:rPr>
        <w:t>年</w:t>
      </w:r>
      <w:r>
        <w:rPr>
          <w:rFonts w:ascii="Times New Roman" w:eastAsia="方正仿宋_GBK" w:cs="Times New Roman" w:hAnsi="Times New Roman"/>
          <w:sz w:val="32"/>
          <w:szCs w:val="32"/>
          <w:lang w:val="en-US" w:eastAsia="zh-CN"/>
        </w:rPr>
        <w:t>7</w:t>
      </w:r>
      <w:r>
        <w:rPr>
          <w:rFonts w:ascii="Times New Roman" w:eastAsia="方正仿宋_GBK" w:cs="Times New Roman" w:hAnsi="Times New Roman"/>
          <w:sz w:val="32"/>
          <w:szCs w:val="32"/>
        </w:rPr>
        <w:t>月</w:t>
      </w:r>
      <w:r>
        <w:rPr>
          <w:rFonts w:ascii="Times New Roman" w:eastAsia="方正仿宋_GBK" w:cs="Times New Roman" w:hAnsi="Times New Roman"/>
          <w:sz w:val="32"/>
          <w:szCs w:val="32"/>
          <w:lang w:val="en-US" w:eastAsia="zh-CN"/>
        </w:rPr>
        <w:t>3</w:t>
      </w:r>
      <w:r>
        <w:rPr>
          <w:rFonts w:ascii="Times New Roman" w:eastAsia="方正仿宋_GBK" w:cs="Times New Roman" w:hAnsi="Times New Roman"/>
          <w:sz w:val="32"/>
          <w:szCs w:val="32"/>
        </w:rPr>
        <w:t xml:space="preserve">日 </w:t>
      </w:r>
      <w:r>
        <w:rPr>
          <w:rFonts w:ascii="Times New Roman" w:eastAsia="方正仿宋_GBK" w:cs="Times New Roman" w:hAnsi="Times New Roman"/>
          <w:sz w:val="32"/>
          <w:szCs w:val="32"/>
          <w:lang w:val="en-US" w:eastAsia="zh-CN"/>
        </w:rPr>
        <w:t xml:space="preserve">     </w:t>
      </w:r>
    </w:p>
    <w:p>
      <w:pPr>
        <w:wordWrap/>
        <w:ind w:rightChars="400" w:right="840" w:firstLineChars="200" w:firstLine="640"/>
        <w:jc w:val="left"/>
        <w:rPr>
          <w:rFonts w:ascii="Times New Roman" w:eastAsia="方正仿宋_GBK" w:cs="Times New Roman" w:hAnsi="Times New Roman"/>
          <w:sz w:val="32"/>
          <w:szCs w:val="32"/>
          <w:lang w:val="en-US" w:eastAsia="zh-CN"/>
        </w:rPr>
      </w:pPr>
      <w:r>
        <w:rPr>
          <w:rFonts w:ascii="Times New Roman" w:eastAsia="方正仿宋_GBK" w:cs="Times New Roman" w:hAnsi="Times New Roman"/>
          <w:sz w:val="32"/>
          <w:szCs w:val="32"/>
          <w:lang w:val="en-US" w:eastAsia="zh-CN"/>
        </w:rPr>
        <w:t>（此件公开发布）</w:t>
      </w:r>
    </w:p>
    <w:p>
      <w:pPr>
        <w:wordWrap w:val="0"/>
        <w:ind w:rightChars="400" w:right="840" w:firstLineChars="200" w:firstLine="388"/>
        <w:jc w:val="right"/>
        <w:rPr>
          <w:rFonts w:ascii="Times New Roman" w:cs="Times New Roman" w:hAnsi="Times New Roman"/>
          <w:spacing w:val="-8"/>
        </w:rPr>
      </w:pPr>
    </w:p>
    <w:sectPr>
      <w:footerReference w:type="default" r:id="rId2"/>
      <w:footerReference w:type="even" r:id="rId3"/>
      <w:pgSz w:w="11906" w:h="16838"/>
      <w:pgMar w:top="2098" w:right="1474" w:bottom="1985" w:left="1588" w:header="851" w:footer="1588" w:gutter="0"/>
      <w:pgNumType w:chapStyle="1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E0002AFF" w:usb1="C0007841" w:usb2="00000009" w:usb3="00000000" w:csb0="400001FF" w:csb1="FFFF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仿宋简体">
    <w:altName w:val="仿宋"/>
    <w:panose1 w:val="03000509000000000000"/>
    <w:charset w:val="86"/>
    <w:family w:val="script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8"/>
      <w:tabs>
        <w:tab w:val="clear" w:pos="4153"/>
        <w:tab w:val="clear" w:pos="8306"/>
        <w:tab w:val="center" w:pos="4153"/>
        <w:tab w:val="right" w:pos="8306"/>
      </w:tabs>
      <w:ind w:right="360" w:firstLine="360"/>
    </w:pPr>
    <w:r>
      <w:rPr>
        <w:sz w:val="18"/>
      </w:rPr>
      <mc:AlternateContent>
        <mc:Choice Requires="wps">
          <w:drawing>
            <wp:anchor distT="0" distB="0" distL="114298" distR="114298" simplePos="0" relativeHeight="12" behindDoc="0" locked="0" layoutInCell="1" hidden="0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22299" cy="204647"/>
              <wp:effectExtent l="0" t="0" r="0" b="0"/>
              <wp:wrapNone/>
              <wp:docPr id="1" name="文本框 1 1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622299" cy="204647"/>
                      </a:xfrm>
                      <a:prstGeom prst="rect"/>
                      <a:noFill/>
                      <a:ln w="9525" cmpd="sng" cap="flat">
                        <a:noFill/>
                        <a:prstDash val="solid"/>
                        <a:miter/>
                      </a:ln>
                    </wps:spPr>
                    <wps:txbx id="2">
                      <w:txbxContent>
                        <w:p>
                          <w:pPr>
                            <w:pStyle w:val="18"/>
                            <w:tabs>
                              <w:tab w:val="center" w:pos="4153"/>
                              <w:tab w:val="right" w:pos="8306"/>
                            </w:tabs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1 1 3" o:spid="_x0000_s3" filled="f" stroked="f" style="position:absolute;margin-left:0.0pt;margin-top:0.0pt;width:48.999992pt;height:16.113997pt;z-index:12;mso-position-horizontal:outside;mso-position-horizontal-relative:margin;mso-position-vertical:absolute;mso-wrap-distance-left:8.999863pt;mso-wrap-distance-right:8.999863pt;mso-wrap-style:none;">
              <v:stroke color="#000000"/>
              <v:textbox id="848" inset="0mm,0mm,0mm,0mm" o:insetmode="custom" style="layout-flow:horizontal;v-text-anchor:top;mso-fit-shape-to-text:t;">
                <w:txbxContent>
                  <w:p>
                    <w:pPr>
                      <w:pStyle w:val="18"/>
                      <w:tabs>
                        <w:tab w:val="center" w:pos="4153"/>
                        <w:tab w:val="right" w:pos="8306"/>
                      </w:tabs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8"/>
      <w:framePr w:w="0" w:hRule="auto" w:wrap="around" w:vAnchor="text" w:hAnchor="margin" w:xAlign="outside" w:y="1" w:anchorLock="0"/>
      <w:tabs>
        <w:tab w:val="clear" w:pos="4153"/>
        <w:tab w:val="clear" w:pos="8306"/>
        <w:tab w:val="center" w:pos="4153"/>
        <w:tab w:val="right" w:pos="8306"/>
      </w:tabs>
      <w:rPr>
        <w:rStyle w:val="21"/>
      </w:rPr>
    </w:pPr>
    <w:r>
      <w:rPr>
        <w:rStyle w:val="21"/>
      </w:rPr>
      <w:fldChar w:fldCharType="begin"/>
    </w:r>
    <w:r>
      <w:rPr>
        <w:rStyle w:val="21"/>
      </w:rPr>
      <w:instrText xml:space="preserve">PAGE  </w:instrText>
    </w:r>
    <w:r>
      <w:rPr>
        <w:rStyle w:val="21"/>
      </w:rPr>
      <w:fldChar w:fldCharType="separate"/>
    </w:r>
    <w:r>
      <w:rPr>
        <w:rStyle w:val="21"/>
        <w:vanish/>
      </w:rPr>
      <w:t xml:space="preserve"> </w:t>
    </w:r>
    <w:r>
      <w:rPr>
        <w:rStyle w:val="21"/>
      </w:rPr>
      <w:fldChar w:fldCharType="end"/>
    </w:r>
  </w:p>
  <w:p>
    <w:pPr>
      <w:pStyle w:val="18"/>
      <w:tabs>
        <w:tab w:val="clear" w:pos="4153"/>
        <w:tab w:val="clear" w:pos="8306"/>
        <w:tab w:val="center" w:pos="4153"/>
        <w:tab w:val="right" w:pos="8306"/>
      </w:tabs>
      <w:ind w:right="360" w:firstLine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20"/>
  <w:doNotDisplayPageBoundaries/>
  <w:bordersDoNotSurroundHeader/>
  <w:bordersDoNotSurroundFooter/>
  <w:defaultTabStop w:val="420"/>
  <w:mirrorMargins/>
  <w:drawingGridHorizontalSpacing w:val="105"/>
  <w:drawingGridVerticalSpacing w:val="156"/>
  <w:displayHorizontalDrawingGridEvery w:val="0"/>
  <w:displayVerticalDrawingGridEvery w:val="2"/>
  <w:doNotShadeFormData/>
  <w:characterSpacingControl w:val="compressPunctuation"/>
  <w:compat>
    <w:spaceForUL/>
    <w:balanceSingleByteDoubleByteWidth/>
    <w:ulTrailSpace/>
    <w:doNotExpandShiftReturn/>
    <w:adjustLineHeightInTable/>
    <w:doNotBreakWrappedTables/>
    <w:growAutofit/>
    <w:doNotUseIndentAsNumberingTabStop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Body Text Indent"/>
    <w:basedOn w:val="0"/>
    <w:pPr>
      <w:spacing w:after="120"/>
      <w:ind w:leftChars="200" w:left="200"/>
    </w:pPr>
  </w:style>
  <w:style w:type="paragraph" w:styleId="16">
    <w:name w:val="Date"/>
    <w:basedOn w:val="0"/>
    <w:next w:val="0"/>
    <w:pPr>
      <w:ind w:leftChars="2500" w:left="2500"/>
    </w:pPr>
    <w:rPr>
      <w:rFonts w:eastAsia="方正仿宋简体"/>
      <w:sz w:val="32"/>
    </w:rPr>
  </w:style>
  <w:style w:type="paragraph" w:styleId="17">
    <w:name w:val="Balloon Text"/>
    <w:basedOn w:val="0"/>
    <w:rPr>
      <w:sz w:val="18"/>
      <w:szCs w:val="18"/>
    </w:rPr>
  </w:style>
  <w:style w:type="paragraph" w:styleId="18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9">
    <w:name w:val="header"/>
    <w:basedOn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20">
    <w:name w:val="Body Text First Indent 2"/>
    <w:basedOn w:val="15"/>
    <w:pPr>
      <w:ind w:firstLineChars="200" w:firstLine="200"/>
    </w:pPr>
    <w:rPr>
      <w:rFonts w:ascii="Times New Roman" w:hAnsi="Times New Roman"/>
      <w:szCs w:val="24"/>
    </w:rPr>
  </w:style>
  <w:style w:type="character" w:styleId="21">
    <w:name w:val="page number"/>
  </w:style>
  <w:style w:type="paragraph" w:customStyle="1" w:styleId="22">
    <w:name w:val=" Char Char Char1 Char Char Char Char Char Char Char Char Char Char"/>
    <w:basedOn w:val="0"/>
    <w:pPr>
      <w:adjustRightInd w:val="0"/>
      <w:snapToGrid w:val="0"/>
      <w:spacing w:line="360" w:lineRule="auto"/>
      <w:ind w:firstLineChars="200" w:firstLine="200"/>
    </w:pPr>
    <w:rPr>
      <w:rFonts w:ascii="宋体" w:cs="宋体"/>
      <w:sz w:val="24"/>
      <w:szCs w:val="26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20B5BEE0-ED01-49A7-A634-9D11A83D1462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14096350</TotalTime>
  <Application>Yozo_Office27021597764231179</Application>
  <Pages>2</Pages>
  <Words>0</Words>
  <Characters>288</Characters>
  <Lines>0</Lines>
  <Paragraphs>18</Paragraphs>
  <CharactersWithSpaces>385</CharactersWithSpaces>
  <Company>xx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重庆市涪陵区建设委员会</dc:title>
  <dc:creator>dj</dc:creator>
  <cp:lastModifiedBy>yq</cp:lastModifiedBy>
  <cp:revision>20</cp:revision>
  <cp:lastPrinted>2026-07-03T07:38:00Z</cp:lastPrinted>
  <dcterms:created xsi:type="dcterms:W3CDTF">2012-12-18T02:44:00Z</dcterms:created>
  <dcterms:modified xsi:type="dcterms:W3CDTF">2026-07-03T09:13:24Z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2052-12.1.0.24657</vt:lpwstr>
  </property>
</Properties>
</file>