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重庆市涪陵区人民政府荔枝街道</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default"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lang w:eastAsia="zh-CN"/>
        </w:rPr>
        <w:t>退役军人服务站</w:t>
      </w:r>
      <w:r>
        <w:rPr>
          <w:rFonts w:ascii="方正小标宋_GBK" w:hAnsi="方正小标宋_GBK" w:eastAsia="方正小标宋_GBK" w:cs="方正小标宋_GBK"/>
          <w:sz w:val="44"/>
          <w:szCs w:val="44"/>
          <w:shd w:val="clear" w:color="auto" w:fill="FFFFFF"/>
        </w:rPr>
        <w:t>202</w:t>
      </w:r>
      <w:r>
        <w:rPr>
          <w:rFonts w:hint="eastAsia" w:ascii="方正小标宋_GBK" w:hAnsi="方正小标宋_GBK" w:eastAsia="方正小标宋_GBK" w:cs="方正小标宋_GBK"/>
          <w:sz w:val="44"/>
          <w:szCs w:val="44"/>
          <w:shd w:val="clear" w:color="auto" w:fill="FFFFFF"/>
          <w:lang w:val="en-US" w:eastAsia="zh-CN"/>
        </w:rPr>
        <w:t>4</w:t>
      </w:r>
      <w:r>
        <w:rPr>
          <w:rFonts w:ascii="方正小标宋_GBK" w:hAnsi="方正小标宋_GBK" w:eastAsia="方正小标宋_GBK" w:cs="方正小标宋_GBK"/>
          <w:sz w:val="44"/>
          <w:szCs w:val="44"/>
          <w:shd w:val="clear" w:color="auto" w:fill="FFFFFF"/>
        </w:rPr>
        <w:t>年度决算公开说明</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ascii="黑体" w:hAnsi="黑体" w:eastAsia="黑体" w:cs="黑体"/>
          <w:b w:val="0"/>
          <w:bCs/>
          <w:sz w:val="32"/>
          <w:szCs w:val="32"/>
          <w:shd w:val="clear" w:color="auto" w:fill="FFFFFF"/>
        </w:rPr>
      </w:pP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黑体" w:hAnsi="黑体" w:eastAsia="黑体" w:cs="黑体"/>
          <w:b w:val="0"/>
          <w:bCs/>
          <w:sz w:val="32"/>
          <w:szCs w:val="32"/>
        </w:rPr>
      </w:pPr>
      <w:r>
        <w:rPr>
          <w:rStyle w:val="10"/>
          <w:rFonts w:ascii="黑体" w:hAnsi="黑体" w:eastAsia="黑体" w:cs="黑体"/>
          <w:b w:val="0"/>
          <w:bCs/>
          <w:sz w:val="32"/>
          <w:szCs w:val="32"/>
          <w:shd w:val="clear" w:color="auto" w:fill="FFFFFF"/>
        </w:rPr>
        <w:t>一、单位基本情况</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420"/>
        <w:textAlignment w:val="auto"/>
        <w:rPr>
          <w:rFonts w:hint="default" w:ascii="方正仿宋_GBK" w:hAnsi="方正仿宋_GBK" w:eastAsia="方正仿宋_GBK" w:cs="方正仿宋_GBK"/>
          <w:b w:val="0"/>
          <w:bCs/>
          <w:sz w:val="32"/>
          <w:szCs w:val="32"/>
        </w:rPr>
      </w:pPr>
      <w:r>
        <w:rPr>
          <w:rStyle w:val="10"/>
          <w:rFonts w:ascii="楷体" w:hAnsi="楷体" w:eastAsia="楷体" w:cs="楷体"/>
          <w:b w:val="0"/>
          <w:bCs/>
          <w:sz w:val="32"/>
          <w:szCs w:val="32"/>
          <w:shd w:val="clear" w:color="auto" w:fill="FFFFFF"/>
        </w:rPr>
        <w:t>（一）职能职责</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方正仿宋_GBK" w:hAnsi="方正仿宋_GBK" w:eastAsia="方正仿宋_GBK" w:cs="方正仿宋_GBK"/>
          <w:b w:val="0"/>
          <w:bCs/>
          <w:sz w:val="32"/>
          <w:szCs w:val="32"/>
          <w:highlight w:val="none"/>
          <w:lang w:eastAsia="zh-CN"/>
        </w:rPr>
      </w:pPr>
      <w:r>
        <w:rPr>
          <w:rFonts w:hint="eastAsia" w:ascii="方正仿宋_GBK" w:hAnsi="方正仿宋_GBK" w:eastAsia="方正仿宋_GBK" w:cs="方正仿宋_GBK"/>
          <w:b w:val="0"/>
          <w:bCs/>
          <w:sz w:val="32"/>
          <w:szCs w:val="32"/>
          <w:highlight w:val="none"/>
          <w:lang w:eastAsia="zh-CN"/>
        </w:rPr>
        <w:t>人武退役岗主要负责兵员征集、民兵整组、战备训练、国防教育、国防动员、思想政治引领、就业创业扶持、优抚帮扶、权益维护。</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420"/>
        <w:textAlignment w:val="auto"/>
        <w:rPr>
          <w:rFonts w:hint="default" w:ascii="楷体" w:hAnsi="楷体" w:eastAsia="楷体" w:cs="楷体"/>
          <w:b w:val="0"/>
          <w:bCs/>
          <w:sz w:val="32"/>
          <w:szCs w:val="32"/>
        </w:rPr>
      </w:pPr>
      <w:r>
        <w:rPr>
          <w:rStyle w:val="10"/>
          <w:rFonts w:ascii="楷体" w:hAnsi="楷体" w:eastAsia="楷体" w:cs="楷体"/>
          <w:b w:val="0"/>
          <w:bCs/>
          <w:sz w:val="32"/>
          <w:szCs w:val="32"/>
          <w:shd w:val="clear" w:color="auto" w:fill="FFFFFF"/>
        </w:rPr>
        <w:t>（二）机构设置</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b w:val="0"/>
          <w:bCs/>
          <w:sz w:val="32"/>
          <w:szCs w:val="32"/>
          <w:highlight w:val="none"/>
          <w:lang w:eastAsia="zh-CN"/>
        </w:rPr>
      </w:pPr>
      <w:r>
        <w:rPr>
          <w:rFonts w:hint="eastAsia" w:ascii="方正仿宋_GBK" w:hAnsi="方正仿宋_GBK" w:eastAsia="方正仿宋_GBK" w:cs="方正仿宋_GBK"/>
          <w:b w:val="0"/>
          <w:bCs/>
          <w:sz w:val="32"/>
          <w:szCs w:val="32"/>
          <w:highlight w:val="none"/>
          <w:lang w:eastAsia="zh-CN"/>
        </w:rPr>
        <w:t>人武退役岗。</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sz w:val="32"/>
          <w:szCs w:val="32"/>
        </w:rPr>
      </w:pPr>
      <w:r>
        <w:rPr>
          <w:rStyle w:val="10"/>
          <w:rFonts w:ascii="黑体" w:hAnsi="黑体" w:eastAsia="黑体" w:cs="黑体"/>
          <w:b w:val="0"/>
          <w:bCs/>
          <w:sz w:val="32"/>
          <w:szCs w:val="32"/>
          <w:shd w:val="clear" w:color="auto" w:fill="FFFFFF"/>
        </w:rPr>
        <w:t>二、单位决算情况说明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left="0" w:leftChars="0" w:firstLine="640" w:firstLineChars="200"/>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（一）收入支出决算总体情况说明。</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1.总体情况。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年度收入总计</w:t>
      </w:r>
      <w:r>
        <w:rPr>
          <w:rFonts w:hint="eastAsia" w:ascii="方正仿宋_GBK" w:hAnsi="方正仿宋_GBK" w:eastAsia="方正仿宋_GBK" w:cs="方正仿宋_GBK"/>
          <w:b w:val="0"/>
          <w:bCs/>
          <w:sz w:val="32"/>
          <w:szCs w:val="32"/>
          <w:shd w:val="clear" w:color="auto" w:fill="FFFFFF"/>
          <w:lang w:val="en-US" w:eastAsia="zh-CN"/>
        </w:rPr>
        <w:t>235.11</w:t>
      </w:r>
      <w:r>
        <w:rPr>
          <w:rFonts w:ascii="方正仿宋_GBK" w:hAnsi="方正仿宋_GBK" w:eastAsia="方正仿宋_GBK" w:cs="方正仿宋_GBK"/>
          <w:b w:val="0"/>
          <w:bCs/>
          <w:sz w:val="32"/>
          <w:szCs w:val="32"/>
          <w:shd w:val="clear" w:color="auto" w:fill="FFFFFF"/>
        </w:rPr>
        <w:t>万元，支出总计</w:t>
      </w:r>
      <w:r>
        <w:rPr>
          <w:rFonts w:hint="eastAsia" w:ascii="方正仿宋_GBK" w:hAnsi="方正仿宋_GBK" w:eastAsia="方正仿宋_GBK" w:cs="方正仿宋_GBK"/>
          <w:b w:val="0"/>
          <w:bCs/>
          <w:sz w:val="32"/>
          <w:szCs w:val="32"/>
          <w:shd w:val="clear" w:color="auto" w:fill="FFFFFF"/>
          <w:lang w:val="en-US" w:eastAsia="zh-CN"/>
        </w:rPr>
        <w:t>235.11</w:t>
      </w:r>
      <w:r>
        <w:rPr>
          <w:rFonts w:ascii="方正仿宋_GBK" w:hAnsi="方正仿宋_GBK" w:eastAsia="方正仿宋_GBK" w:cs="方正仿宋_GBK"/>
          <w:b w:val="0"/>
          <w:bCs/>
          <w:sz w:val="32"/>
          <w:szCs w:val="32"/>
          <w:shd w:val="clear" w:color="auto" w:fill="FFFFFF"/>
        </w:rPr>
        <w:t>元。收支较上年决算数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78.30万元，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49.93</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人员经费、差旅费、</w:t>
      </w:r>
      <w:r>
        <w:rPr>
          <w:rFonts w:hint="eastAsia" w:ascii="方正仿宋_GBK" w:hAnsi="方正仿宋_GBK" w:eastAsia="方正仿宋_GBK" w:cs="方正仿宋_GBK"/>
          <w:b w:val="0"/>
          <w:bCs/>
          <w:sz w:val="32"/>
          <w:szCs w:val="32"/>
          <w:shd w:val="clear" w:color="auto" w:fill="FFFFFF"/>
          <w:lang w:val="en-US" w:eastAsia="zh-CN"/>
        </w:rPr>
        <w:t>电费</w:t>
      </w:r>
      <w:r>
        <w:rPr>
          <w:rFonts w:hint="eastAsia" w:ascii="方正仿宋_GBK" w:hAnsi="方正仿宋_GBK" w:eastAsia="方正仿宋_GBK" w:cs="方正仿宋_GBK"/>
          <w:b w:val="0"/>
          <w:bCs/>
          <w:sz w:val="32"/>
          <w:szCs w:val="32"/>
          <w:shd w:val="clear" w:color="auto" w:fill="FFFFFF"/>
          <w:lang w:eastAsia="zh-CN"/>
        </w:rPr>
        <w:t>增长</w:t>
      </w:r>
      <w:r>
        <w:rPr>
          <w:rFonts w:ascii="方正仿宋_GBK" w:hAnsi="方正仿宋_GBK" w:eastAsia="方正仿宋_GBK" w:cs="方正仿宋_GBK"/>
          <w:b w:val="0"/>
          <w:bCs/>
          <w:sz w:val="32"/>
          <w:szCs w:val="32"/>
          <w:shd w:val="clear" w:color="auto" w:fill="FFFFFF"/>
        </w:rPr>
        <w:t>。</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2.收入情况。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年度收入合计</w:t>
      </w:r>
      <w:r>
        <w:rPr>
          <w:rFonts w:hint="eastAsia" w:ascii="方正仿宋_GBK" w:hAnsi="方正仿宋_GBK" w:eastAsia="方正仿宋_GBK" w:cs="方正仿宋_GBK"/>
          <w:b w:val="0"/>
          <w:bCs/>
          <w:sz w:val="32"/>
          <w:szCs w:val="32"/>
          <w:shd w:val="clear" w:color="auto" w:fill="FFFFFF"/>
          <w:lang w:val="en-US" w:eastAsia="zh-CN"/>
        </w:rPr>
        <w:t>235.11</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78.30</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49.93</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主要原因是部门财力增加</w:t>
      </w:r>
      <w:r>
        <w:rPr>
          <w:rFonts w:ascii="方正仿宋_GBK" w:hAnsi="方正仿宋_GBK" w:eastAsia="方正仿宋_GBK" w:cs="方正仿宋_GBK"/>
          <w:b w:val="0"/>
          <w:bCs/>
          <w:sz w:val="32"/>
          <w:szCs w:val="32"/>
          <w:shd w:val="clear" w:color="auto" w:fill="FFFFFF"/>
        </w:rPr>
        <w:t>。其中：财政拨款收入</w:t>
      </w:r>
      <w:r>
        <w:rPr>
          <w:rFonts w:hint="eastAsia" w:ascii="方正仿宋_GBK" w:hAnsi="方正仿宋_GBK" w:eastAsia="方正仿宋_GBK" w:cs="方正仿宋_GBK"/>
          <w:b w:val="0"/>
          <w:bCs/>
          <w:sz w:val="32"/>
          <w:szCs w:val="32"/>
          <w:shd w:val="clear" w:color="auto" w:fill="FFFFFF"/>
          <w:lang w:val="en-US" w:eastAsia="zh-CN"/>
        </w:rPr>
        <w:t>235.11</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100.00</w:t>
      </w:r>
      <w:r>
        <w:rPr>
          <w:rFonts w:ascii="方正仿宋_GBK" w:hAnsi="方正仿宋_GBK" w:eastAsia="方正仿宋_GBK" w:cs="方正仿宋_GBK"/>
          <w:b w:val="0"/>
          <w:bCs/>
          <w:sz w:val="32"/>
          <w:szCs w:val="32"/>
          <w:shd w:val="clear" w:color="auto" w:fill="FFFFFF"/>
        </w:rPr>
        <w:t>%；事业收入0.00万元，占0.00%；经营收入0.00万元，占0.00%；其他收入0.00万元，占0.00%。此外，使用非财政拨款结余和专用结余0.00万元，年初结转和结余</w:t>
      </w:r>
      <w:r>
        <w:rPr>
          <w:rFonts w:hint="eastAsia" w:ascii="方正仿宋_GBK" w:hAnsi="方正仿宋_GBK" w:eastAsia="方正仿宋_GBK" w:cs="方正仿宋_GBK"/>
          <w:b w:val="0"/>
          <w:bCs/>
          <w:sz w:val="32"/>
          <w:szCs w:val="32"/>
          <w:shd w:val="clear" w:color="auto" w:fill="FFFFFF"/>
          <w:lang w:val="en-US" w:eastAsia="zh-CN"/>
        </w:rPr>
        <w:t>0.00</w:t>
      </w:r>
      <w:r>
        <w:rPr>
          <w:rFonts w:ascii="方正仿宋_GBK" w:hAnsi="方正仿宋_GBK" w:eastAsia="方正仿宋_GBK" w:cs="方正仿宋_GBK"/>
          <w:b w:val="0"/>
          <w:bCs/>
          <w:sz w:val="32"/>
          <w:szCs w:val="32"/>
          <w:shd w:val="clear" w:color="auto" w:fill="FFFFFF"/>
        </w:rPr>
        <w:t>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3.支出情况。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年度支出合计</w:t>
      </w:r>
      <w:r>
        <w:rPr>
          <w:rFonts w:hint="eastAsia" w:ascii="方正仿宋_GBK" w:hAnsi="方正仿宋_GBK" w:eastAsia="方正仿宋_GBK" w:cs="方正仿宋_GBK"/>
          <w:b w:val="0"/>
          <w:bCs/>
          <w:sz w:val="32"/>
          <w:szCs w:val="32"/>
          <w:shd w:val="clear" w:color="auto" w:fill="FFFFFF"/>
          <w:lang w:val="en-US" w:eastAsia="zh-CN"/>
        </w:rPr>
        <w:t>235.11</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78.30</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上涨</w:t>
      </w:r>
      <w:r>
        <w:rPr>
          <w:rFonts w:hint="eastAsia" w:ascii="方正仿宋_GBK" w:hAnsi="方正仿宋_GBK" w:eastAsia="方正仿宋_GBK" w:cs="方正仿宋_GBK"/>
          <w:b w:val="0"/>
          <w:bCs/>
          <w:sz w:val="32"/>
          <w:szCs w:val="32"/>
          <w:shd w:val="clear" w:color="auto" w:fill="FFFFFF"/>
          <w:lang w:val="en-US" w:eastAsia="zh-CN"/>
        </w:rPr>
        <w:t>49.93</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人员经费、差旅费、</w:t>
      </w:r>
      <w:r>
        <w:rPr>
          <w:rFonts w:hint="eastAsia" w:ascii="方正仿宋_GBK" w:hAnsi="方正仿宋_GBK" w:eastAsia="方正仿宋_GBK" w:cs="方正仿宋_GBK"/>
          <w:b w:val="0"/>
          <w:bCs/>
          <w:sz w:val="32"/>
          <w:szCs w:val="32"/>
          <w:shd w:val="clear" w:color="auto" w:fill="FFFFFF"/>
          <w:lang w:val="en-US" w:eastAsia="zh-CN"/>
        </w:rPr>
        <w:t>电费</w:t>
      </w:r>
      <w:r>
        <w:rPr>
          <w:rFonts w:hint="eastAsia" w:ascii="方正仿宋_GBK" w:hAnsi="方正仿宋_GBK" w:eastAsia="方正仿宋_GBK" w:cs="方正仿宋_GBK"/>
          <w:b w:val="0"/>
          <w:bCs/>
          <w:sz w:val="32"/>
          <w:szCs w:val="32"/>
          <w:shd w:val="clear" w:color="auto" w:fill="FFFFFF"/>
          <w:lang w:eastAsia="zh-CN"/>
        </w:rPr>
        <w:t>增长，</w:t>
      </w:r>
      <w:r>
        <w:rPr>
          <w:rFonts w:ascii="方正仿宋_GBK" w:hAnsi="方正仿宋_GBK" w:eastAsia="方正仿宋_GBK" w:cs="方正仿宋_GBK"/>
          <w:b w:val="0"/>
          <w:bCs/>
          <w:sz w:val="32"/>
          <w:szCs w:val="32"/>
          <w:shd w:val="clear" w:color="auto" w:fill="FFFFFF"/>
        </w:rPr>
        <w:t>其中：基本支出</w:t>
      </w:r>
      <w:r>
        <w:rPr>
          <w:rFonts w:hint="eastAsia" w:ascii="方正仿宋_GBK" w:hAnsi="方正仿宋_GBK" w:eastAsia="方正仿宋_GBK" w:cs="方正仿宋_GBK"/>
          <w:b w:val="0"/>
          <w:bCs/>
          <w:sz w:val="32"/>
          <w:szCs w:val="32"/>
          <w:shd w:val="clear" w:color="auto" w:fill="FFFFFF"/>
          <w:lang w:val="en-US" w:eastAsia="zh-CN"/>
        </w:rPr>
        <w:t>190.26</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80.92</w:t>
      </w:r>
      <w:r>
        <w:rPr>
          <w:rFonts w:ascii="方正仿宋_GBK" w:hAnsi="方正仿宋_GBK" w:eastAsia="方正仿宋_GBK" w:cs="方正仿宋_GBK"/>
          <w:b w:val="0"/>
          <w:bCs/>
          <w:sz w:val="32"/>
          <w:szCs w:val="32"/>
          <w:shd w:val="clear" w:color="auto" w:fill="FFFFFF"/>
        </w:rPr>
        <w:t>%；项目支出</w:t>
      </w:r>
      <w:r>
        <w:rPr>
          <w:rFonts w:hint="eastAsia" w:ascii="方正仿宋_GBK" w:hAnsi="方正仿宋_GBK" w:eastAsia="方正仿宋_GBK" w:cs="方正仿宋_GBK"/>
          <w:b w:val="0"/>
          <w:bCs/>
          <w:sz w:val="32"/>
          <w:szCs w:val="32"/>
          <w:shd w:val="clear" w:color="auto" w:fill="FFFFFF"/>
          <w:lang w:val="en-US" w:eastAsia="zh-CN"/>
        </w:rPr>
        <w:t>44.85</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19.08</w:t>
      </w:r>
      <w:r>
        <w:rPr>
          <w:rFonts w:ascii="方正仿宋_GBK" w:hAnsi="方正仿宋_GBK" w:eastAsia="方正仿宋_GBK" w:cs="方正仿宋_GBK"/>
          <w:b w:val="0"/>
          <w:bCs/>
          <w:sz w:val="32"/>
          <w:szCs w:val="32"/>
          <w:shd w:val="clear" w:color="auto" w:fill="FFFFFF"/>
        </w:rPr>
        <w:t>%；经营支出0.00万元，占0.00%。此外，结余分配0.00万元。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rPr>
      </w:pPr>
      <w:r>
        <w:rPr>
          <w:rStyle w:val="10"/>
          <w:rFonts w:ascii="方正仿宋_GBK" w:hAnsi="方正仿宋_GBK" w:eastAsia="方正仿宋_GBK" w:cs="方正仿宋_GBK"/>
          <w:b w:val="0"/>
          <w:bCs/>
          <w:sz w:val="32"/>
          <w:szCs w:val="32"/>
          <w:shd w:val="clear" w:color="auto" w:fill="FFFFFF"/>
        </w:rPr>
        <w:t>4.结转结余情况。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年度年末结转和结余</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上涨</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（二）财政拨款收入支出决算总体情况说明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年度财政拨款收、支总计</w:t>
      </w:r>
      <w:r>
        <w:rPr>
          <w:rFonts w:hint="eastAsia" w:ascii="方正仿宋_GBK" w:hAnsi="方正仿宋_GBK" w:eastAsia="方正仿宋_GBK" w:cs="方正仿宋_GBK"/>
          <w:b w:val="0"/>
          <w:bCs/>
          <w:sz w:val="32"/>
          <w:szCs w:val="32"/>
          <w:shd w:val="clear" w:color="auto" w:fill="FFFFFF"/>
          <w:lang w:val="en-US" w:eastAsia="zh-CN"/>
        </w:rPr>
        <w:t>235.11</w:t>
      </w:r>
      <w:r>
        <w:rPr>
          <w:rFonts w:ascii="方正仿宋_GBK" w:hAnsi="方正仿宋_GBK" w:eastAsia="方正仿宋_GBK" w:cs="方正仿宋_GBK"/>
          <w:b w:val="0"/>
          <w:bCs/>
          <w:sz w:val="32"/>
          <w:szCs w:val="32"/>
          <w:shd w:val="clear" w:color="auto" w:fill="FFFFFF"/>
        </w:rPr>
        <w:t>万元。与202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年相比，财政拨款收、支总计各</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78.30</w:t>
      </w:r>
      <w:r>
        <w:rPr>
          <w:rFonts w:ascii="方正仿宋_GBK" w:hAnsi="方正仿宋_GBK" w:eastAsia="方正仿宋_GBK" w:cs="方正仿宋_GBK"/>
          <w:b w:val="0"/>
          <w:bCs/>
          <w:sz w:val="32"/>
          <w:szCs w:val="32"/>
          <w:shd w:val="clear" w:color="auto" w:fill="FFFFFF"/>
        </w:rPr>
        <w:t>万元，增长</w:t>
      </w:r>
      <w:r>
        <w:rPr>
          <w:rFonts w:hint="eastAsia" w:ascii="方正仿宋_GBK" w:hAnsi="方正仿宋_GBK" w:eastAsia="方正仿宋_GBK" w:cs="方正仿宋_GBK"/>
          <w:b w:val="0"/>
          <w:bCs/>
          <w:sz w:val="32"/>
          <w:szCs w:val="32"/>
          <w:shd w:val="clear" w:color="auto" w:fill="FFFFFF"/>
          <w:lang w:val="en-US" w:eastAsia="zh-CN"/>
        </w:rPr>
        <w:t>49.93</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人员经费、差旅费、</w:t>
      </w:r>
      <w:r>
        <w:rPr>
          <w:rFonts w:hint="eastAsia" w:ascii="方正仿宋_GBK" w:hAnsi="方正仿宋_GBK" w:eastAsia="方正仿宋_GBK" w:cs="方正仿宋_GBK"/>
          <w:b w:val="0"/>
          <w:bCs/>
          <w:sz w:val="32"/>
          <w:szCs w:val="32"/>
          <w:shd w:val="clear" w:color="auto" w:fill="FFFFFF"/>
          <w:lang w:val="en-US" w:eastAsia="zh-CN"/>
        </w:rPr>
        <w:t>电</w:t>
      </w:r>
      <w:r>
        <w:rPr>
          <w:rFonts w:hint="eastAsia" w:ascii="方正仿宋_GBK" w:hAnsi="方正仿宋_GBK" w:eastAsia="方正仿宋_GBK" w:cs="方正仿宋_GBK"/>
          <w:b w:val="0"/>
          <w:bCs/>
          <w:sz w:val="32"/>
          <w:szCs w:val="32"/>
          <w:shd w:val="clear" w:color="auto" w:fill="FFFFFF"/>
          <w:lang w:eastAsia="zh-CN"/>
        </w:rPr>
        <w:t>费增长</w:t>
      </w:r>
      <w:r>
        <w:rPr>
          <w:rFonts w:ascii="方正仿宋_GBK" w:hAnsi="方正仿宋_GBK" w:eastAsia="方正仿宋_GBK" w:cs="方正仿宋_GBK"/>
          <w:b w:val="0"/>
          <w:bCs/>
          <w:sz w:val="32"/>
          <w:szCs w:val="32"/>
          <w:shd w:val="clear" w:color="auto" w:fill="FFFFFF"/>
        </w:rPr>
        <w:t>。</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（三）一般公共预算财政拨款收入支出决算情况说明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highlight w:val="none"/>
          <w:shd w:val="clear" w:color="auto" w:fill="FFFFFF"/>
        </w:rPr>
      </w:pPr>
      <w:r>
        <w:rPr>
          <w:rStyle w:val="10"/>
          <w:rFonts w:ascii="方正仿宋_GBK" w:hAnsi="方正仿宋_GBK" w:eastAsia="方正仿宋_GBK" w:cs="方正仿宋_GBK"/>
          <w:b w:val="0"/>
          <w:bCs/>
          <w:sz w:val="32"/>
          <w:szCs w:val="32"/>
          <w:shd w:val="clear" w:color="auto" w:fill="FFFFFF"/>
        </w:rPr>
        <w:t>1.收入情况。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年度一般公共预算财政拨款收入</w:t>
      </w:r>
      <w:r>
        <w:rPr>
          <w:rFonts w:hint="eastAsia" w:ascii="方正仿宋_GBK" w:hAnsi="方正仿宋_GBK" w:eastAsia="方正仿宋_GBK" w:cs="方正仿宋_GBK"/>
          <w:b w:val="0"/>
          <w:bCs/>
          <w:sz w:val="32"/>
          <w:szCs w:val="32"/>
          <w:shd w:val="clear" w:color="auto" w:fill="FFFFFF"/>
          <w:lang w:val="en-US" w:eastAsia="zh-CN"/>
        </w:rPr>
        <w:t>235.11</w:t>
      </w:r>
      <w:r>
        <w:rPr>
          <w:rFonts w:ascii="方正仿宋_GBK" w:hAnsi="方正仿宋_GBK" w:eastAsia="方正仿宋_GBK" w:cs="方正仿宋_GBK"/>
          <w:b w:val="0"/>
          <w:bCs/>
          <w:sz w:val="32"/>
          <w:szCs w:val="32"/>
          <w:shd w:val="clear" w:color="auto" w:fill="FFFFFF"/>
        </w:rPr>
        <w:t>万元，较上年决算数增加</w:t>
      </w:r>
      <w:r>
        <w:rPr>
          <w:rFonts w:hint="eastAsia" w:ascii="方正仿宋_GBK" w:hAnsi="方正仿宋_GBK" w:eastAsia="方正仿宋_GBK" w:cs="方正仿宋_GBK"/>
          <w:b w:val="0"/>
          <w:bCs/>
          <w:sz w:val="32"/>
          <w:szCs w:val="32"/>
          <w:shd w:val="clear" w:color="auto" w:fill="FFFFFF"/>
          <w:lang w:val="en-US" w:eastAsia="zh-CN"/>
        </w:rPr>
        <w:t>78.30</w:t>
      </w:r>
      <w:r>
        <w:rPr>
          <w:rFonts w:ascii="方正仿宋_GBK" w:hAnsi="方正仿宋_GBK" w:eastAsia="方正仿宋_GBK" w:cs="方正仿宋_GBK"/>
          <w:b w:val="0"/>
          <w:bCs/>
          <w:sz w:val="32"/>
          <w:szCs w:val="32"/>
          <w:shd w:val="clear" w:color="auto" w:fill="FFFFFF"/>
        </w:rPr>
        <w:t>万元，增长</w:t>
      </w:r>
      <w:r>
        <w:rPr>
          <w:rFonts w:hint="eastAsia" w:ascii="方正仿宋_GBK" w:hAnsi="方正仿宋_GBK" w:eastAsia="方正仿宋_GBK" w:cs="方正仿宋_GBK"/>
          <w:b w:val="0"/>
          <w:bCs/>
          <w:sz w:val="32"/>
          <w:szCs w:val="32"/>
          <w:shd w:val="clear" w:color="auto" w:fill="FFFFFF"/>
          <w:lang w:val="en-US" w:eastAsia="zh-CN"/>
        </w:rPr>
        <w:t>49.93</w:t>
      </w:r>
      <w:r>
        <w:rPr>
          <w:rFonts w:ascii="方正仿宋_GBK" w:hAnsi="方正仿宋_GBK" w:eastAsia="方正仿宋_GBK" w:cs="方正仿宋_GBK"/>
          <w:b w:val="0"/>
          <w:bCs/>
          <w:sz w:val="32"/>
          <w:szCs w:val="32"/>
          <w:shd w:val="clear" w:color="auto" w:fill="FFFFFF"/>
        </w:rPr>
        <w:t>%。</w:t>
      </w:r>
      <w:r>
        <w:rPr>
          <w:rFonts w:ascii="方正仿宋_GBK" w:hAnsi="方正仿宋_GBK" w:eastAsia="方正仿宋_GBK" w:cs="方正仿宋_GBK"/>
          <w:b w:val="0"/>
          <w:bCs/>
          <w:sz w:val="32"/>
          <w:szCs w:val="32"/>
          <w:highlight w:val="none"/>
          <w:shd w:val="clear" w:color="auto" w:fill="FFFFFF"/>
        </w:rPr>
        <w:t>较年初预算数</w:t>
      </w:r>
      <w:r>
        <w:rPr>
          <w:rFonts w:hint="eastAsia" w:ascii="方正仿宋_GBK" w:hAnsi="方正仿宋_GBK" w:eastAsia="方正仿宋_GBK" w:cs="方正仿宋_GBK"/>
          <w:b w:val="0"/>
          <w:bCs/>
          <w:sz w:val="32"/>
          <w:szCs w:val="32"/>
          <w:highlight w:val="none"/>
          <w:shd w:val="clear" w:color="auto" w:fill="FFFFFF"/>
          <w:lang w:eastAsia="zh-CN"/>
        </w:rPr>
        <w:t>增加</w:t>
      </w:r>
      <w:r>
        <w:rPr>
          <w:rFonts w:hint="eastAsia" w:ascii="方正仿宋_GBK" w:hAnsi="方正仿宋_GBK" w:eastAsia="方正仿宋_GBK" w:cs="方正仿宋_GBK"/>
          <w:b w:val="0"/>
          <w:bCs/>
          <w:sz w:val="32"/>
          <w:szCs w:val="32"/>
          <w:highlight w:val="none"/>
          <w:shd w:val="clear" w:color="auto" w:fill="FFFFFF"/>
          <w:lang w:val="en-US" w:eastAsia="zh-CN"/>
        </w:rPr>
        <w:t>27.74</w:t>
      </w:r>
      <w:r>
        <w:rPr>
          <w:rFonts w:ascii="方正仿宋_GBK" w:hAnsi="方正仿宋_GBK" w:eastAsia="方正仿宋_GBK" w:cs="方正仿宋_GBK"/>
          <w:b w:val="0"/>
          <w:bCs/>
          <w:sz w:val="32"/>
          <w:szCs w:val="32"/>
          <w:highlight w:val="none"/>
          <w:shd w:val="clear" w:color="auto" w:fill="FFFFFF"/>
        </w:rPr>
        <w:t>万元，</w:t>
      </w:r>
      <w:r>
        <w:rPr>
          <w:rFonts w:hint="eastAsia" w:ascii="方正仿宋_GBK" w:hAnsi="方正仿宋_GBK" w:eastAsia="方正仿宋_GBK" w:cs="方正仿宋_GBK"/>
          <w:b w:val="0"/>
          <w:bCs/>
          <w:sz w:val="32"/>
          <w:szCs w:val="32"/>
          <w:highlight w:val="none"/>
          <w:shd w:val="clear" w:color="auto" w:fill="FFFFFF"/>
          <w:lang w:eastAsia="zh-CN"/>
        </w:rPr>
        <w:t>增长</w:t>
      </w:r>
      <w:r>
        <w:rPr>
          <w:rFonts w:hint="eastAsia" w:ascii="方正仿宋_GBK" w:hAnsi="方正仿宋_GBK" w:eastAsia="方正仿宋_GBK" w:cs="方正仿宋_GBK"/>
          <w:b w:val="0"/>
          <w:bCs/>
          <w:sz w:val="32"/>
          <w:szCs w:val="32"/>
          <w:highlight w:val="none"/>
          <w:shd w:val="clear" w:color="auto" w:fill="FFFFFF"/>
          <w:lang w:val="en-US" w:eastAsia="zh-CN"/>
        </w:rPr>
        <w:t>13.38</w:t>
      </w:r>
      <w:r>
        <w:rPr>
          <w:rFonts w:ascii="方正仿宋_GBK" w:hAnsi="方正仿宋_GBK" w:eastAsia="方正仿宋_GBK" w:cs="方正仿宋_GBK"/>
          <w:b w:val="0"/>
          <w:bCs/>
          <w:sz w:val="32"/>
          <w:szCs w:val="32"/>
          <w:highlight w:val="none"/>
          <w:shd w:val="clear" w:color="auto" w:fill="FFFFFF"/>
        </w:rPr>
        <w:t>%。此外，年初财政拨款结转和结余0.00万元。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highlight w:val="none"/>
          <w:shd w:val="clear" w:color="auto" w:fill="FFFFFF"/>
          <w:lang w:eastAsia="zh-CN"/>
        </w:rPr>
      </w:pPr>
      <w:r>
        <w:rPr>
          <w:rStyle w:val="10"/>
          <w:rFonts w:ascii="方正仿宋_GBK" w:hAnsi="方正仿宋_GBK" w:eastAsia="方正仿宋_GBK" w:cs="方正仿宋_GBK"/>
          <w:b w:val="0"/>
          <w:bCs/>
          <w:sz w:val="32"/>
          <w:szCs w:val="32"/>
          <w:highlight w:val="none"/>
          <w:shd w:val="clear" w:color="auto" w:fill="FFFFFF"/>
        </w:rPr>
        <w:t>2.支出情况。</w:t>
      </w:r>
      <w:r>
        <w:rPr>
          <w:rFonts w:ascii="方正仿宋_GBK" w:hAnsi="方正仿宋_GBK" w:eastAsia="方正仿宋_GBK" w:cs="方正仿宋_GBK"/>
          <w:b w:val="0"/>
          <w:bCs/>
          <w:sz w:val="32"/>
          <w:szCs w:val="32"/>
          <w:highlight w:val="none"/>
          <w:shd w:val="clear" w:color="auto" w:fill="FFFFFF"/>
        </w:rPr>
        <w:t>202</w:t>
      </w:r>
      <w:r>
        <w:rPr>
          <w:rFonts w:hint="eastAsia" w:ascii="方正仿宋_GBK" w:hAnsi="方正仿宋_GBK" w:eastAsia="方正仿宋_GBK" w:cs="方正仿宋_GBK"/>
          <w:b w:val="0"/>
          <w:bCs/>
          <w:sz w:val="32"/>
          <w:szCs w:val="32"/>
          <w:highlight w:val="none"/>
          <w:shd w:val="clear" w:color="auto" w:fill="FFFFFF"/>
          <w:lang w:val="en-US" w:eastAsia="zh-CN"/>
        </w:rPr>
        <w:t>4</w:t>
      </w:r>
      <w:r>
        <w:rPr>
          <w:rFonts w:ascii="方正仿宋_GBK" w:hAnsi="方正仿宋_GBK" w:eastAsia="方正仿宋_GBK" w:cs="方正仿宋_GBK"/>
          <w:b w:val="0"/>
          <w:bCs/>
          <w:sz w:val="32"/>
          <w:szCs w:val="32"/>
          <w:highlight w:val="none"/>
          <w:shd w:val="clear" w:color="auto" w:fill="FFFFFF"/>
        </w:rPr>
        <w:t>年度一般公共预算财政拨款支出</w:t>
      </w:r>
      <w:r>
        <w:rPr>
          <w:rFonts w:hint="eastAsia" w:ascii="方正仿宋_GBK" w:hAnsi="方正仿宋_GBK" w:eastAsia="方正仿宋_GBK" w:cs="方正仿宋_GBK"/>
          <w:b w:val="0"/>
          <w:bCs/>
          <w:sz w:val="32"/>
          <w:szCs w:val="32"/>
          <w:shd w:val="clear" w:color="auto" w:fill="FFFFFF"/>
          <w:lang w:val="en-US" w:eastAsia="zh-CN"/>
        </w:rPr>
        <w:t>235.11</w:t>
      </w:r>
      <w:r>
        <w:rPr>
          <w:rFonts w:ascii="方正仿宋_GBK" w:hAnsi="方正仿宋_GBK" w:eastAsia="方正仿宋_GBK" w:cs="方正仿宋_GBK"/>
          <w:b w:val="0"/>
          <w:bCs/>
          <w:sz w:val="32"/>
          <w:szCs w:val="32"/>
          <w:highlight w:val="none"/>
          <w:shd w:val="clear" w:color="auto" w:fill="FFFFFF"/>
        </w:rPr>
        <w:t>万元，较上年决算数增加</w:t>
      </w:r>
      <w:r>
        <w:rPr>
          <w:rFonts w:hint="eastAsia" w:ascii="方正仿宋_GBK" w:hAnsi="方正仿宋_GBK" w:eastAsia="方正仿宋_GBK" w:cs="方正仿宋_GBK"/>
          <w:b w:val="0"/>
          <w:bCs/>
          <w:sz w:val="32"/>
          <w:szCs w:val="32"/>
          <w:shd w:val="clear" w:color="auto" w:fill="FFFFFF"/>
          <w:lang w:val="en-US" w:eastAsia="zh-CN"/>
        </w:rPr>
        <w:t>78.30</w:t>
      </w:r>
      <w:r>
        <w:rPr>
          <w:rFonts w:ascii="方正仿宋_GBK" w:hAnsi="方正仿宋_GBK" w:eastAsia="方正仿宋_GBK" w:cs="方正仿宋_GBK"/>
          <w:b w:val="0"/>
          <w:bCs/>
          <w:sz w:val="32"/>
          <w:szCs w:val="32"/>
          <w:shd w:val="clear" w:color="auto" w:fill="FFFFFF"/>
        </w:rPr>
        <w:t>万</w:t>
      </w:r>
      <w:r>
        <w:rPr>
          <w:rFonts w:ascii="方正仿宋_GBK" w:hAnsi="方正仿宋_GBK" w:eastAsia="方正仿宋_GBK" w:cs="方正仿宋_GBK"/>
          <w:b w:val="0"/>
          <w:bCs/>
          <w:sz w:val="32"/>
          <w:szCs w:val="32"/>
          <w:highlight w:val="none"/>
          <w:shd w:val="clear" w:color="auto" w:fill="FFFFFF"/>
        </w:rPr>
        <w:t>万元，增长</w:t>
      </w:r>
      <w:r>
        <w:rPr>
          <w:rFonts w:hint="eastAsia" w:ascii="方正仿宋_GBK" w:hAnsi="方正仿宋_GBK" w:eastAsia="方正仿宋_GBK" w:cs="方正仿宋_GBK"/>
          <w:b w:val="0"/>
          <w:bCs/>
          <w:sz w:val="32"/>
          <w:szCs w:val="32"/>
          <w:shd w:val="clear" w:color="auto" w:fill="FFFFFF"/>
          <w:lang w:val="en-US" w:eastAsia="zh-CN"/>
        </w:rPr>
        <w:t>49.93</w:t>
      </w:r>
      <w:r>
        <w:rPr>
          <w:rFonts w:ascii="方正仿宋_GBK" w:hAnsi="方正仿宋_GBK" w:eastAsia="方正仿宋_GBK" w:cs="方正仿宋_GBK"/>
          <w:b w:val="0"/>
          <w:bCs/>
          <w:sz w:val="32"/>
          <w:szCs w:val="32"/>
          <w:shd w:val="clear" w:color="auto" w:fill="FFFFFF"/>
        </w:rPr>
        <w:t>%</w:t>
      </w:r>
      <w:r>
        <w:rPr>
          <w:rFonts w:ascii="方正仿宋_GBK" w:hAnsi="方正仿宋_GBK" w:eastAsia="方正仿宋_GBK" w:cs="方正仿宋_GBK"/>
          <w:b w:val="0"/>
          <w:bCs/>
          <w:sz w:val="32"/>
          <w:szCs w:val="32"/>
          <w:highlight w:val="none"/>
          <w:shd w:val="clear" w:color="auto" w:fill="FFFFFF"/>
        </w:rPr>
        <w:t>。</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人员经费、差旅费、</w:t>
      </w:r>
      <w:r>
        <w:rPr>
          <w:rFonts w:hint="eastAsia" w:ascii="方正仿宋_GBK" w:hAnsi="方正仿宋_GBK" w:eastAsia="方正仿宋_GBK" w:cs="方正仿宋_GBK"/>
          <w:b w:val="0"/>
          <w:bCs/>
          <w:sz w:val="32"/>
          <w:szCs w:val="32"/>
          <w:shd w:val="clear" w:color="auto" w:fill="FFFFFF"/>
          <w:lang w:val="en-US" w:eastAsia="zh-CN"/>
        </w:rPr>
        <w:t>电</w:t>
      </w:r>
      <w:r>
        <w:rPr>
          <w:rFonts w:hint="eastAsia" w:ascii="方正仿宋_GBK" w:hAnsi="方正仿宋_GBK" w:eastAsia="方正仿宋_GBK" w:cs="方正仿宋_GBK"/>
          <w:b w:val="0"/>
          <w:bCs/>
          <w:sz w:val="32"/>
          <w:szCs w:val="32"/>
          <w:shd w:val="clear" w:color="auto" w:fill="FFFFFF"/>
          <w:lang w:eastAsia="zh-CN"/>
        </w:rPr>
        <w:t>费增长</w:t>
      </w:r>
      <w:r>
        <w:rPr>
          <w:rFonts w:ascii="方正仿宋_GBK" w:hAnsi="方正仿宋_GBK" w:eastAsia="方正仿宋_GBK" w:cs="方正仿宋_GBK"/>
          <w:b w:val="0"/>
          <w:bCs/>
          <w:sz w:val="32"/>
          <w:szCs w:val="32"/>
          <w:shd w:val="clear" w:color="auto" w:fill="FFFFFF"/>
        </w:rPr>
        <w:t>。</w:t>
      </w:r>
      <w:r>
        <w:rPr>
          <w:rFonts w:ascii="方正仿宋_GBK" w:hAnsi="方正仿宋_GBK" w:eastAsia="方正仿宋_GBK" w:cs="方正仿宋_GBK"/>
          <w:b w:val="0"/>
          <w:bCs/>
          <w:sz w:val="32"/>
          <w:szCs w:val="32"/>
          <w:highlight w:val="none"/>
          <w:shd w:val="clear" w:color="auto" w:fill="FFFFFF"/>
        </w:rPr>
        <w:t>较年初预算数</w:t>
      </w:r>
      <w:r>
        <w:rPr>
          <w:rFonts w:hint="eastAsia" w:ascii="方正仿宋_GBK" w:hAnsi="方正仿宋_GBK" w:eastAsia="方正仿宋_GBK" w:cs="方正仿宋_GBK"/>
          <w:b w:val="0"/>
          <w:bCs/>
          <w:sz w:val="32"/>
          <w:szCs w:val="32"/>
          <w:highlight w:val="none"/>
          <w:shd w:val="clear" w:color="auto" w:fill="FFFFFF"/>
          <w:lang w:eastAsia="zh-CN"/>
        </w:rPr>
        <w:t>增加</w:t>
      </w:r>
      <w:r>
        <w:rPr>
          <w:rFonts w:hint="eastAsia" w:ascii="方正仿宋_GBK" w:hAnsi="方正仿宋_GBK" w:eastAsia="方正仿宋_GBK" w:cs="方正仿宋_GBK"/>
          <w:b w:val="0"/>
          <w:bCs/>
          <w:sz w:val="32"/>
          <w:szCs w:val="32"/>
          <w:highlight w:val="none"/>
          <w:shd w:val="clear" w:color="auto" w:fill="FFFFFF"/>
          <w:lang w:val="en-US" w:eastAsia="zh-CN"/>
        </w:rPr>
        <w:t>27.74</w:t>
      </w:r>
      <w:r>
        <w:rPr>
          <w:rFonts w:ascii="方正仿宋_GBK" w:hAnsi="方正仿宋_GBK" w:eastAsia="方正仿宋_GBK" w:cs="方正仿宋_GBK"/>
          <w:b w:val="0"/>
          <w:bCs/>
          <w:sz w:val="32"/>
          <w:szCs w:val="32"/>
          <w:highlight w:val="none"/>
          <w:shd w:val="clear" w:color="auto" w:fill="FFFFFF"/>
        </w:rPr>
        <w:t>万元，</w:t>
      </w:r>
      <w:r>
        <w:rPr>
          <w:rFonts w:hint="eastAsia" w:ascii="方正仿宋_GBK" w:hAnsi="方正仿宋_GBK" w:eastAsia="方正仿宋_GBK" w:cs="方正仿宋_GBK"/>
          <w:b w:val="0"/>
          <w:bCs/>
          <w:sz w:val="32"/>
          <w:szCs w:val="32"/>
          <w:highlight w:val="none"/>
          <w:shd w:val="clear" w:color="auto" w:fill="FFFFFF"/>
          <w:lang w:eastAsia="zh-CN"/>
        </w:rPr>
        <w:t>增长</w:t>
      </w:r>
      <w:r>
        <w:rPr>
          <w:rFonts w:hint="eastAsia" w:ascii="方正仿宋_GBK" w:hAnsi="方正仿宋_GBK" w:eastAsia="方正仿宋_GBK" w:cs="方正仿宋_GBK"/>
          <w:b w:val="0"/>
          <w:bCs/>
          <w:sz w:val="32"/>
          <w:szCs w:val="32"/>
          <w:highlight w:val="none"/>
          <w:shd w:val="clear" w:color="auto" w:fill="FFFFFF"/>
          <w:lang w:val="en-US" w:eastAsia="zh-CN"/>
        </w:rPr>
        <w:t>13.38</w:t>
      </w:r>
      <w:r>
        <w:rPr>
          <w:rFonts w:ascii="方正仿宋_GBK" w:hAnsi="方正仿宋_GBK" w:eastAsia="方正仿宋_GBK" w:cs="方正仿宋_GBK"/>
          <w:b w:val="0"/>
          <w:bCs/>
          <w:sz w:val="32"/>
          <w:szCs w:val="32"/>
          <w:highlight w:val="none"/>
          <w:shd w:val="clear" w:color="auto" w:fill="FFFFFF"/>
        </w:rPr>
        <w:t>%</w:t>
      </w:r>
      <w:r>
        <w:rPr>
          <w:rFonts w:hint="eastAsia" w:ascii="方正仿宋_GBK" w:hAnsi="方正仿宋_GBK" w:eastAsia="方正仿宋_GBK" w:cs="方正仿宋_GBK"/>
          <w:b w:val="0"/>
          <w:bCs/>
          <w:sz w:val="32"/>
          <w:szCs w:val="32"/>
          <w:highlight w:val="none"/>
          <w:shd w:val="clear" w:color="auto" w:fill="FFFFFF"/>
          <w:lang w:eastAsia="zh-CN"/>
        </w:rPr>
        <w:t>。</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3.结转结余情况。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年度年末一般公共预算财政拨款结转和结余</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万元，较上年决算数减少</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color w:val="FF0000"/>
          <w:sz w:val="32"/>
          <w:szCs w:val="32"/>
          <w:highlight w:val="cyan"/>
          <w:shd w:val="clear" w:color="auto" w:fill="FFFFFF"/>
        </w:rPr>
      </w:pPr>
      <w:r>
        <w:rPr>
          <w:rStyle w:val="10"/>
          <w:rFonts w:ascii="方正仿宋_GBK" w:hAnsi="方正仿宋_GBK" w:eastAsia="方正仿宋_GBK" w:cs="方正仿宋_GBK"/>
          <w:b w:val="0"/>
          <w:bCs/>
          <w:sz w:val="32"/>
          <w:szCs w:val="32"/>
          <w:shd w:val="clear" w:color="auto" w:fill="FFFFFF"/>
        </w:rPr>
        <w:t>4.比较情况。</w:t>
      </w:r>
      <w:r>
        <w:rPr>
          <w:rFonts w:ascii="方正仿宋_GBK" w:hAnsi="方正仿宋_GBK" w:eastAsia="方正仿宋_GBK" w:cs="方正仿宋_GBK"/>
          <w:b w:val="0"/>
          <w:bCs/>
          <w:sz w:val="32"/>
          <w:szCs w:val="32"/>
          <w:shd w:val="clear" w:color="auto" w:fill="FFFFFF"/>
        </w:rPr>
        <w:t>本单位202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年度一般公共预算财政拨款支出主要用于以下几个方面：</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sz w:val="32"/>
          <w:szCs w:val="32"/>
          <w:shd w:val="clear" w:color="auto" w:fill="FFFFFF"/>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1</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社会保障和就业支</w:t>
      </w:r>
      <w:r>
        <w:rPr>
          <w:rFonts w:ascii="方正仿宋_GBK" w:hAnsi="方正仿宋_GBK" w:eastAsia="方正仿宋_GBK" w:cs="方正仿宋_GBK"/>
          <w:b w:val="0"/>
          <w:bCs/>
          <w:sz w:val="32"/>
          <w:szCs w:val="32"/>
          <w:shd w:val="clear" w:color="auto" w:fill="FFFFFF"/>
        </w:rPr>
        <w:t>出</w:t>
      </w:r>
      <w:r>
        <w:rPr>
          <w:rFonts w:hint="eastAsia" w:ascii="方正仿宋_GBK" w:hAnsi="方正仿宋_GBK" w:eastAsia="方正仿宋_GBK" w:cs="方正仿宋_GBK"/>
          <w:b w:val="0"/>
          <w:bCs/>
          <w:sz w:val="32"/>
          <w:szCs w:val="32"/>
          <w:shd w:val="clear" w:color="auto" w:fill="FFFFFF"/>
          <w:lang w:val="en-US" w:eastAsia="zh-CN"/>
        </w:rPr>
        <w:t>217.78</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92.63</w:t>
      </w:r>
      <w:r>
        <w:rPr>
          <w:rFonts w:ascii="方正仿宋_GBK" w:hAnsi="方正仿宋_GBK" w:eastAsia="方正仿宋_GBK" w:cs="方正仿宋_GBK"/>
          <w:b w:val="0"/>
          <w:bCs/>
          <w:sz w:val="32"/>
          <w:szCs w:val="32"/>
          <w:shd w:val="clear" w:color="auto" w:fill="FFFFFF"/>
        </w:rPr>
        <w:t>%，较年初预算数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26.11</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13.62</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要原因是人员支出增加。</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2</w:t>
      </w:r>
      <w:r>
        <w:rPr>
          <w:rFonts w:ascii="方正仿宋_GBK" w:hAnsi="方正仿宋_GBK" w:eastAsia="方正仿宋_GBK" w:cs="方正仿宋_GBK"/>
          <w:b w:val="0"/>
          <w:bCs/>
          <w:sz w:val="32"/>
          <w:szCs w:val="32"/>
          <w:shd w:val="clear" w:color="auto" w:fill="FFFFFF"/>
        </w:rPr>
        <w:t>）卫生健康支出</w:t>
      </w:r>
      <w:r>
        <w:rPr>
          <w:rFonts w:hint="eastAsia" w:ascii="方正仿宋_GBK" w:hAnsi="方正仿宋_GBK" w:eastAsia="方正仿宋_GBK" w:cs="方正仿宋_GBK"/>
          <w:b w:val="0"/>
          <w:bCs/>
          <w:sz w:val="32"/>
          <w:szCs w:val="32"/>
          <w:shd w:val="clear" w:color="auto" w:fill="FFFFFF"/>
          <w:lang w:val="en-US" w:eastAsia="zh-CN"/>
        </w:rPr>
        <w:t>10.01</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4.26</w:t>
      </w:r>
      <w:r>
        <w:rPr>
          <w:rFonts w:ascii="方正仿宋_GBK" w:hAnsi="方正仿宋_GBK" w:eastAsia="方正仿宋_GBK" w:cs="方正仿宋_GBK"/>
          <w:b w:val="0"/>
          <w:bCs/>
          <w:sz w:val="32"/>
          <w:szCs w:val="32"/>
          <w:shd w:val="clear" w:color="auto" w:fill="FFFFFF"/>
        </w:rPr>
        <w:t>%，较年初预算数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1.73</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20.89</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要原因是人员医疗保险支出增加。</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3</w:t>
      </w:r>
      <w:r>
        <w:rPr>
          <w:rFonts w:ascii="方正仿宋_GBK" w:hAnsi="方正仿宋_GBK" w:eastAsia="方正仿宋_GBK" w:cs="方正仿宋_GBK"/>
          <w:b w:val="0"/>
          <w:bCs/>
          <w:sz w:val="32"/>
          <w:szCs w:val="32"/>
          <w:shd w:val="clear" w:color="auto" w:fill="FFFFFF"/>
        </w:rPr>
        <w:t>）住房保障支出</w:t>
      </w:r>
      <w:r>
        <w:rPr>
          <w:rFonts w:hint="eastAsia" w:ascii="方正仿宋_GBK" w:hAnsi="方正仿宋_GBK" w:eastAsia="方正仿宋_GBK" w:cs="方正仿宋_GBK"/>
          <w:b w:val="0"/>
          <w:bCs/>
          <w:sz w:val="32"/>
          <w:szCs w:val="32"/>
          <w:shd w:val="clear" w:color="auto" w:fill="FFFFFF"/>
          <w:lang w:val="en-US" w:eastAsia="zh-CN"/>
        </w:rPr>
        <w:t>7.92</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3.37</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和年初预算数一致。</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（四）一般公共预算财政拨款基本支出决算情况说明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lang w:val="en-US" w:eastAsia="zh-CN" w:bidi="ar-SA"/>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年度一般公共财政拨款基本支出</w:t>
      </w:r>
      <w:r>
        <w:rPr>
          <w:rFonts w:hint="eastAsia" w:ascii="方正仿宋_GBK" w:hAnsi="方正仿宋_GBK" w:eastAsia="方正仿宋_GBK" w:cs="方正仿宋_GBK"/>
          <w:b w:val="0"/>
          <w:bCs/>
          <w:sz w:val="32"/>
          <w:szCs w:val="32"/>
          <w:shd w:val="clear" w:color="auto" w:fill="FFFFFF"/>
          <w:lang w:val="en-US" w:eastAsia="zh-CN"/>
        </w:rPr>
        <w:t>190.26</w:t>
      </w:r>
      <w:r>
        <w:rPr>
          <w:rFonts w:ascii="方正仿宋_GBK" w:hAnsi="方正仿宋_GBK" w:eastAsia="方正仿宋_GBK" w:cs="方正仿宋_GBK"/>
          <w:b w:val="0"/>
          <w:bCs/>
          <w:sz w:val="32"/>
          <w:szCs w:val="32"/>
          <w:shd w:val="clear" w:color="auto" w:fill="FFFFFF"/>
        </w:rPr>
        <w:t>万元。其中：人员经费</w:t>
      </w:r>
      <w:r>
        <w:rPr>
          <w:rFonts w:hint="eastAsia" w:ascii="方正仿宋_GBK" w:hAnsi="方正仿宋_GBK" w:eastAsia="方正仿宋_GBK" w:cs="方正仿宋_GBK"/>
          <w:b w:val="0"/>
          <w:bCs/>
          <w:sz w:val="32"/>
          <w:szCs w:val="32"/>
          <w:shd w:val="clear" w:color="auto" w:fill="FFFFFF"/>
          <w:lang w:val="en-US" w:eastAsia="zh-CN"/>
        </w:rPr>
        <w:t>156.72</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16.03</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11.39</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要原因是人员支出增加。</w:t>
      </w:r>
      <w:r>
        <w:rPr>
          <w:rFonts w:hint="eastAsia" w:ascii="方正仿宋_GBK" w:hAnsi="方正仿宋_GBK" w:eastAsia="方正仿宋_GBK" w:cs="方正仿宋_GBK"/>
          <w:b w:val="0"/>
          <w:bCs/>
          <w:sz w:val="32"/>
          <w:szCs w:val="32"/>
          <w:shd w:val="clear" w:color="auto" w:fill="FFFFFF"/>
        </w:rPr>
        <w:t>人员</w:t>
      </w:r>
      <w:r>
        <w:rPr>
          <w:rFonts w:hint="eastAsia" w:ascii="方正仿宋_GBK" w:hAnsi="方正仿宋_GBK" w:eastAsia="方正仿宋_GBK" w:cs="方正仿宋_GBK"/>
          <w:b w:val="0"/>
          <w:bCs/>
          <w:sz w:val="32"/>
          <w:szCs w:val="32"/>
          <w:shd w:val="clear" w:color="auto" w:fill="FFFFFF"/>
        </w:rPr>
        <w:t>经费用途主要包括</w:t>
      </w:r>
      <w:r>
        <w:rPr>
          <w:rFonts w:hint="eastAsia" w:ascii="方正仿宋_GBK" w:hAnsi="方正仿宋_GBK" w:eastAsia="方正仿宋_GBK" w:cs="方正仿宋_GBK"/>
          <w:b w:val="0"/>
          <w:bCs/>
          <w:color w:val="000000"/>
          <w:sz w:val="32"/>
          <w:szCs w:val="32"/>
          <w:highlight w:val="none"/>
        </w:rPr>
        <w:t>主要用于</w:t>
      </w:r>
      <w:r>
        <w:rPr>
          <w:rFonts w:hint="eastAsia" w:ascii="方正仿宋_GBK" w:hAnsi="方正仿宋_GBK" w:eastAsia="方正仿宋_GBK" w:cs="方正仿宋_GBK"/>
          <w:b w:val="0"/>
          <w:bCs/>
          <w:color w:val="000000"/>
          <w:sz w:val="32"/>
          <w:szCs w:val="32"/>
          <w:highlight w:val="none"/>
          <w:lang w:eastAsia="zh-CN"/>
        </w:rPr>
        <w:t>单位开支的在职职工的各类</w:t>
      </w:r>
      <w:r>
        <w:rPr>
          <w:rFonts w:hint="eastAsia" w:ascii="方正仿宋_GBK" w:hAnsi="方正仿宋_GBK" w:eastAsia="方正仿宋_GBK" w:cs="方正仿宋_GBK"/>
          <w:b w:val="0"/>
          <w:bCs/>
          <w:sz w:val="32"/>
          <w:szCs w:val="32"/>
          <w:shd w:val="clear" w:color="auto" w:fill="FFFFFF"/>
          <w:lang w:val="en-US" w:eastAsia="zh-CN" w:bidi="ar-SA"/>
        </w:rPr>
        <w:t>劳动报酬及社保、公积金缴纳，退休人员支出等。公用经费30.69万元，较上年决算数增加17.67万元，主要原因是差旅费、电费增加。公用经费用途主要包括办公费、邮电通讯费、水电费、交通费用、工会经费等。</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（五）政府性基金预算收支决算情况说明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val="en-US" w:eastAsia="zh-CN" w:bidi="ar-SA"/>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年度政府性基金预算财政拨款年初结转结余</w:t>
      </w:r>
      <w:r>
        <w:rPr>
          <w:rFonts w:ascii="方正仿宋_GBK" w:hAnsi="方正仿宋_GBK" w:eastAsia="方正仿宋_GBK" w:cs="方正仿宋_GBK"/>
          <w:b w:val="0"/>
          <w:bCs/>
          <w:sz w:val="32"/>
          <w:szCs w:val="32"/>
        </w:rPr>
        <w:t>0.00</w:t>
      </w:r>
      <w:r>
        <w:rPr>
          <w:rFonts w:ascii="方正仿宋_GBK" w:hAnsi="方正仿宋_GBK" w:eastAsia="方正仿宋_GBK" w:cs="方正仿宋_GBK"/>
          <w:b w:val="0"/>
          <w:bCs/>
          <w:sz w:val="32"/>
          <w:szCs w:val="32"/>
          <w:shd w:val="clear" w:color="auto" w:fill="FFFFFF"/>
        </w:rPr>
        <w:t>万元，年末结转结余</w:t>
      </w:r>
      <w:r>
        <w:rPr>
          <w:rFonts w:hint="eastAsia" w:ascii="方正仿宋_GBK" w:hAnsi="方正仿宋_GBK" w:eastAsia="方正仿宋_GBK" w:cs="方正仿宋_GBK"/>
          <w:b w:val="0"/>
          <w:bCs/>
          <w:sz w:val="32"/>
          <w:szCs w:val="32"/>
          <w:shd w:val="clear" w:color="auto" w:fill="FFFFFF"/>
          <w:lang w:val="en-US" w:eastAsia="zh-CN" w:bidi="ar-SA"/>
        </w:rPr>
        <w:t>0.00万元。本年收入0.00万元，较上年决算数增加0.00万元，本年支出0.00万元。</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（六）国有资本经营预算财政拨款支出决算情况说明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lang w:val="en-US" w:eastAsia="zh-CN" w:bidi="ar-SA"/>
        </w:rPr>
      </w:pPr>
      <w:r>
        <w:rPr>
          <w:rFonts w:hint="eastAsia" w:ascii="方正仿宋_GBK" w:hAnsi="方正仿宋_GBK" w:eastAsia="方正仿宋_GBK" w:cs="方正仿宋_GBK"/>
          <w:b w:val="0"/>
          <w:bCs/>
          <w:sz w:val="32"/>
          <w:szCs w:val="32"/>
          <w:shd w:val="clear" w:color="auto" w:fill="FFFFFF"/>
          <w:lang w:val="en-US" w:eastAsia="zh-CN" w:bidi="ar-SA"/>
        </w:rPr>
        <w:t>本单位2024年度无国有资本经营预算财政拨款支出。</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黑体" w:hAnsi="黑体" w:eastAsia="黑体" w:cs="黑体"/>
          <w:b w:val="0"/>
          <w:bCs/>
          <w:sz w:val="32"/>
          <w:szCs w:val="32"/>
          <w:shd w:val="clear" w:color="auto" w:fill="FFFFFF"/>
        </w:rPr>
      </w:pPr>
      <w:r>
        <w:rPr>
          <w:rStyle w:val="10"/>
          <w:rFonts w:ascii="黑体" w:hAnsi="黑体" w:eastAsia="黑体" w:cs="黑体"/>
          <w:b w:val="0"/>
          <w:bCs/>
          <w:sz w:val="32"/>
          <w:szCs w:val="32"/>
          <w:shd w:val="clear" w:color="auto" w:fill="FFFFFF"/>
        </w:rPr>
        <w:t>三、“三公”经费情况说明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（一）“三公”经费支出总体情况说明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val="en-US" w:eastAsia="zh-CN" w:bidi="ar-SA"/>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w:t>
      </w:r>
      <w:r>
        <w:rPr>
          <w:rFonts w:hint="eastAsia" w:ascii="方正仿宋_GBK" w:hAnsi="方正仿宋_GBK" w:eastAsia="方正仿宋_GBK" w:cs="方正仿宋_GBK"/>
          <w:b w:val="0"/>
          <w:bCs/>
          <w:sz w:val="32"/>
          <w:szCs w:val="32"/>
          <w:shd w:val="clear" w:color="auto" w:fill="FFFFFF"/>
          <w:lang w:eastAsia="zh-CN"/>
        </w:rPr>
        <w:t>本部门无三公经费。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（二）“三公”经费分项支出情况</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w:t>
      </w:r>
      <w:r>
        <w:rPr>
          <w:rFonts w:hint="eastAsia" w:ascii="方正仿宋_GBK" w:hAnsi="方正仿宋_GBK" w:eastAsia="方正仿宋_GBK" w:cs="方正仿宋_GBK"/>
          <w:b w:val="0"/>
          <w:bCs/>
          <w:sz w:val="32"/>
          <w:szCs w:val="32"/>
          <w:shd w:val="clear" w:color="auto" w:fill="FFFFFF"/>
          <w:lang w:eastAsia="zh-CN"/>
        </w:rPr>
        <w:t>本部门无三公经费。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（三）“三公”经费实物量情况</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w:t>
      </w:r>
      <w:r>
        <w:rPr>
          <w:rFonts w:hint="eastAsia" w:ascii="方正仿宋_GBK" w:hAnsi="方正仿宋_GBK" w:eastAsia="方正仿宋_GBK" w:cs="方正仿宋_GBK"/>
          <w:b w:val="0"/>
          <w:bCs/>
          <w:sz w:val="32"/>
          <w:szCs w:val="32"/>
          <w:shd w:val="clear" w:color="auto" w:fill="FFFFFF"/>
          <w:lang w:eastAsia="zh-CN"/>
        </w:rPr>
        <w:t>本部门无三公经费。</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方正仿宋_GBK" w:hAnsi="方正仿宋_GBK" w:eastAsia="方正仿宋_GBK" w:cs="方正仿宋_GBK"/>
          <w:b w:val="0"/>
          <w:bCs/>
          <w:sz w:val="32"/>
          <w:szCs w:val="32"/>
          <w:shd w:val="clear" w:color="auto" w:fill="FFFFFF"/>
        </w:rPr>
      </w:pPr>
      <w:r>
        <w:rPr>
          <w:rStyle w:val="10"/>
          <w:rFonts w:ascii="黑体" w:hAnsi="黑体" w:eastAsia="黑体" w:cs="黑体"/>
          <w:b w:val="0"/>
          <w:bCs/>
          <w:sz w:val="32"/>
          <w:szCs w:val="32"/>
          <w:shd w:val="clear" w:color="auto" w:fill="FFFFFF"/>
        </w:rPr>
        <w:t>四、其他需要说明的事项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（一）财政拨款会议费和培训费情况说明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lang w:eastAsia="zh-CN"/>
        </w:rPr>
      </w:pPr>
      <w:r>
        <w:rPr>
          <w:rFonts w:ascii="方正仿宋_GBK" w:hAnsi="方正仿宋_GBK" w:eastAsia="方正仿宋_GBK" w:cs="方正仿宋_GBK"/>
          <w:b w:val="0"/>
          <w:bCs/>
          <w:sz w:val="32"/>
          <w:szCs w:val="32"/>
          <w:shd w:val="clear" w:color="auto" w:fill="FFFFFF"/>
        </w:rPr>
        <w:t>本年度会议费支出</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万元，本年度培训费支出</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万元，较上年决算数增加</w:t>
      </w:r>
      <w:r>
        <w:rPr>
          <w:rFonts w:hint="eastAsia" w:ascii="方正仿宋_GBK" w:hAnsi="方正仿宋_GBK" w:eastAsia="方正仿宋_GBK" w:cs="方正仿宋_GBK"/>
          <w:b w:val="0"/>
          <w:bCs/>
          <w:sz w:val="32"/>
          <w:szCs w:val="32"/>
          <w:shd w:val="clear" w:color="auto" w:fill="FFFFFF"/>
          <w:lang w:eastAsia="zh-CN"/>
        </w:rPr>
        <w:t>降低</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（二）机关运行经费情况说明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color w:val="000000"/>
          <w:sz w:val="32"/>
          <w:szCs w:val="32"/>
          <w:highlight w:val="none"/>
          <w:shd w:val="clear" w:color="auto" w:fill="FFFFFF"/>
          <w:lang w:eastAsia="zh-CN"/>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年度本单位机关运行经费支出</w:t>
      </w:r>
      <w:r>
        <w:rPr>
          <w:rFonts w:hint="eastAsia" w:ascii="方正仿宋_GBK" w:hAnsi="方正仿宋_GBK" w:eastAsia="方正仿宋_GBK" w:cs="方正仿宋_GBK"/>
          <w:b w:val="0"/>
          <w:bCs/>
          <w:sz w:val="32"/>
          <w:szCs w:val="32"/>
          <w:lang w:val="en-US" w:eastAsia="zh-CN"/>
        </w:rPr>
        <w:t>0.00</w:t>
      </w:r>
      <w:r>
        <w:rPr>
          <w:rFonts w:ascii="方正仿宋_GBK" w:hAnsi="方正仿宋_GBK" w:eastAsia="方正仿宋_GBK" w:cs="方正仿宋_GBK"/>
          <w:b w:val="0"/>
          <w:bCs/>
          <w:sz w:val="32"/>
          <w:szCs w:val="32"/>
          <w:shd w:val="clear" w:color="auto" w:fill="FFFFFF"/>
        </w:rPr>
        <w:t>万元，机关运行经费主</w:t>
      </w:r>
      <w:r>
        <w:rPr>
          <w:rFonts w:hint="eastAsia" w:ascii="方正仿宋_GBK" w:hAnsi="方正仿宋_GBK" w:eastAsia="方正仿宋_GBK" w:cs="方正仿宋_GBK"/>
          <w:b w:val="0"/>
          <w:bCs/>
          <w:color w:val="000000"/>
          <w:sz w:val="32"/>
          <w:szCs w:val="32"/>
          <w:highlight w:val="none"/>
          <w:shd w:val="clear" w:color="auto" w:fill="FFFFFF"/>
          <w:lang w:eastAsia="zh-CN"/>
        </w:rPr>
        <w:t>要用于开支办公费、邮电通讯费、水电费、交通费用、工会经费等。</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（三）国有资产占用情况说明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rPr>
      </w:pPr>
      <w:r>
        <w:rPr>
          <w:rFonts w:ascii="方正仿宋_GBK" w:hAnsi="方正仿宋_GBK" w:eastAsia="方正仿宋_GBK" w:cs="方正仿宋_GBK"/>
          <w:b w:val="0"/>
          <w:bCs/>
          <w:sz w:val="32"/>
          <w:szCs w:val="32"/>
          <w:shd w:val="clear" w:color="auto" w:fill="FFFFFF"/>
        </w:rPr>
        <w:t>截至202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年12月31日，本单位共有车辆</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辆，其中，副部（省）级及以上领导用车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辆、主要负责人用车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辆、机要通信用车</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辆、应急保障用车</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辆、执法执勤用车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辆，特种专业技术用车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辆，离退休干部用车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辆。单价100万元（含）以上专用设备</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台（套）。</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（四）政府采购支出情况说明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color w:val="FF0000"/>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年度本单位政府采购支出总额</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万元，其中：政府采购货物支出</w:t>
      </w:r>
      <w:r>
        <w:rPr>
          <w:rFonts w:ascii="方正仿宋_GBK" w:hAnsi="方正仿宋_GBK" w:eastAsia="方正仿宋_GBK" w:cs="方正仿宋_GBK"/>
          <w:b w:val="0"/>
          <w:bCs/>
          <w:sz w:val="32"/>
          <w:szCs w:val="32"/>
        </w:rPr>
        <w:t>0.00</w:t>
      </w:r>
      <w:r>
        <w:rPr>
          <w:rFonts w:ascii="方正仿宋_GBK" w:hAnsi="方正仿宋_GBK" w:eastAsia="方正仿宋_GBK" w:cs="方正仿宋_GBK"/>
          <w:b w:val="0"/>
          <w:bCs/>
          <w:sz w:val="32"/>
          <w:szCs w:val="32"/>
          <w:shd w:val="clear" w:color="auto" w:fill="FFFFFF"/>
        </w:rPr>
        <w:t>万元、政府采购工程支出</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万元、政府采购服务支出</w:t>
      </w:r>
      <w:r>
        <w:rPr>
          <w:rFonts w:ascii="方正仿宋_GBK" w:hAnsi="方正仿宋_GBK" w:eastAsia="方正仿宋_GBK" w:cs="方正仿宋_GBK"/>
          <w:b w:val="0"/>
          <w:bCs/>
          <w:sz w:val="32"/>
          <w:szCs w:val="32"/>
        </w:rPr>
        <w:t>0.00</w:t>
      </w:r>
      <w:r>
        <w:rPr>
          <w:rFonts w:ascii="方正仿宋_GBK" w:hAnsi="方正仿宋_GBK" w:eastAsia="方正仿宋_GBK" w:cs="方正仿宋_GBK"/>
          <w:b w:val="0"/>
          <w:bCs/>
          <w:sz w:val="32"/>
          <w:szCs w:val="32"/>
          <w:shd w:val="clear" w:color="auto" w:fill="FFFFFF"/>
        </w:rPr>
        <w:t>万元。授予中小企业合同金额</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rPr>
        <w:t>万</w:t>
      </w:r>
      <w:r>
        <w:rPr>
          <w:rFonts w:ascii="方正仿宋_GBK" w:hAnsi="方正仿宋_GBK" w:eastAsia="方正仿宋_GBK" w:cs="方正仿宋_GBK"/>
          <w:b w:val="0"/>
          <w:bCs/>
          <w:sz w:val="32"/>
          <w:szCs w:val="32"/>
          <w:shd w:val="clear" w:color="auto" w:fill="FFFFFF"/>
        </w:rPr>
        <w:t>元</w:t>
      </w:r>
      <w:r>
        <w:rPr>
          <w:rFonts w:hint="eastAsia" w:ascii="方正仿宋_GBK" w:hAnsi="方正仿宋_GBK" w:eastAsia="方正仿宋_GBK" w:cs="方正仿宋_GBK"/>
          <w:b w:val="0"/>
          <w:bCs/>
          <w:sz w:val="32"/>
          <w:szCs w:val="32"/>
          <w:shd w:val="clear" w:color="auto" w:fill="FFFFFF"/>
          <w:lang w:eastAsia="zh-CN"/>
        </w:rPr>
        <w:t>。</w:t>
      </w:r>
    </w:p>
    <w:p>
      <w:pPr>
        <w:pStyle w:val="6"/>
        <w:keepNext w:val="0"/>
        <w:keepLines w:val="0"/>
        <w:pageBreakBefore w:val="0"/>
        <w:numPr>
          <w:numId w:val="0"/>
        </w:numPr>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黑体" w:hAnsi="黑体" w:eastAsia="黑体" w:cs="黑体"/>
          <w:b w:val="0"/>
          <w:bCs/>
          <w:sz w:val="32"/>
          <w:szCs w:val="32"/>
          <w:shd w:val="clear" w:color="auto" w:fill="FFFFFF"/>
        </w:rPr>
      </w:pPr>
      <w:r>
        <w:rPr>
          <w:rStyle w:val="10"/>
          <w:rFonts w:hint="eastAsia" w:ascii="黑体" w:hAnsi="黑体" w:eastAsia="黑体" w:cs="黑体"/>
          <w:b w:val="0"/>
          <w:bCs/>
          <w:sz w:val="32"/>
          <w:szCs w:val="32"/>
          <w:shd w:val="clear" w:color="auto" w:fill="FFFFFF"/>
          <w:lang w:eastAsia="zh-CN"/>
        </w:rPr>
        <w:t>五、</w:t>
      </w:r>
      <w:r>
        <w:rPr>
          <w:rStyle w:val="10"/>
          <w:rFonts w:ascii="黑体" w:hAnsi="黑体" w:eastAsia="黑体" w:cs="黑体"/>
          <w:b w:val="0"/>
          <w:bCs/>
          <w:sz w:val="32"/>
          <w:szCs w:val="32"/>
          <w:shd w:val="clear" w:color="auto" w:fill="FFFFFF"/>
        </w:rPr>
        <w:t>预算绩效管理情况说明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（一）单位自评情况</w:t>
      </w:r>
    </w:p>
    <w:p>
      <w:pPr>
        <w:pStyle w:val="12"/>
        <w:keepNext w:val="0"/>
        <w:keepLines w:val="0"/>
        <w:pageBreakBefore w:val="0"/>
        <w:kinsoku/>
        <w:wordWrap/>
        <w:overflowPunct/>
        <w:topLinePunct w:val="0"/>
        <w:autoSpaceDE w:val="0"/>
        <w:autoSpaceDN/>
        <w:bidi w:val="0"/>
        <w:adjustRightInd/>
        <w:snapToGrid/>
        <w:spacing w:before="0" w:beforeAutospacing="0" w:after="0" w:afterAutospacing="0" w:line="600" w:lineRule="exact"/>
        <w:ind w:firstLine="640"/>
        <w:textAlignment w:val="auto"/>
        <w:rPr>
          <w:rFonts w:eastAsia="方正仿宋_GBK" w:cs="宋体"/>
          <w:b w:val="0"/>
          <w:bCs/>
          <w:sz w:val="32"/>
          <w:szCs w:val="32"/>
          <w:highlight w:val="yellow"/>
        </w:rPr>
      </w:pPr>
      <w:r>
        <w:rPr>
          <w:rFonts w:hint="eastAsia" w:ascii="方正仿宋_GBK" w:hAnsi="方正仿宋_GBK" w:eastAsia="方正仿宋_GBK" w:cs="方正仿宋_GBK"/>
          <w:b w:val="0"/>
          <w:bCs/>
          <w:sz w:val="32"/>
          <w:szCs w:val="32"/>
          <w:shd w:val="clear" w:color="auto" w:fill="FFFFFF"/>
        </w:rPr>
        <w:t>根据预算绩效管理要求，我单位对</w:t>
      </w:r>
      <w:r>
        <w:rPr>
          <w:rFonts w:hint="eastAsia" w:ascii="方正仿宋_GBK" w:hAnsi="方正仿宋_GBK" w:eastAsia="方正仿宋_GBK" w:cs="方正仿宋_GBK"/>
          <w:b w:val="0"/>
          <w:bCs/>
          <w:sz w:val="32"/>
          <w:szCs w:val="32"/>
          <w:shd w:val="clear" w:color="auto" w:fill="FFFFFF"/>
          <w:lang w:val="en-US" w:eastAsia="zh-CN"/>
        </w:rPr>
        <w:t>1</w:t>
      </w:r>
      <w:r>
        <w:rPr>
          <w:rFonts w:hint="eastAsia" w:ascii="方正仿宋_GBK" w:hAnsi="方正仿宋_GBK" w:eastAsia="方正仿宋_GBK" w:cs="方正仿宋_GBK"/>
          <w:b w:val="0"/>
          <w:bCs/>
          <w:sz w:val="32"/>
          <w:szCs w:val="32"/>
          <w:shd w:val="clear" w:color="auto" w:fill="FFFFFF"/>
        </w:rPr>
        <w:t>个项目开展了绩效自评。</w:t>
      </w:r>
    </w:p>
    <w:p>
      <w:pPr>
        <w:pStyle w:val="12"/>
        <w:keepNext w:val="0"/>
        <w:keepLines w:val="0"/>
        <w:pageBreakBefore w:val="0"/>
        <w:kinsoku/>
        <w:wordWrap/>
        <w:overflowPunct/>
        <w:topLinePunct w:val="0"/>
        <w:autoSpaceDN/>
        <w:bidi w:val="0"/>
        <w:adjustRightInd/>
        <w:snapToGrid/>
        <w:spacing w:before="0" w:beforeAutospacing="0" w:after="0" w:afterAutospacing="0" w:line="600" w:lineRule="exact"/>
        <w:ind w:firstLine="560"/>
        <w:textAlignment w:val="auto"/>
        <w:rPr>
          <w:rFonts w:ascii="方正仿宋_GBK" w:hAnsi="方正仿宋_GBK" w:eastAsia="方正仿宋_GBK" w:cs="方正仿宋_GBK"/>
          <w:b w:val="0"/>
          <w:bCs/>
          <w:sz w:val="32"/>
          <w:szCs w:val="32"/>
          <w:highlight w:val="none"/>
          <w:shd w:val="clear" w:color="auto" w:fill="FFFFFF"/>
        </w:rPr>
      </w:pPr>
      <w:r>
        <w:rPr>
          <w:rFonts w:hint="eastAsia" w:ascii="方正仿宋_GBK" w:hAnsi="方正仿宋_GBK" w:eastAsia="方正仿宋_GBK" w:cs="方正仿宋_GBK"/>
          <w:b w:val="0"/>
          <w:bCs/>
          <w:sz w:val="32"/>
          <w:szCs w:val="32"/>
          <w:shd w:val="clear" w:color="auto" w:fill="FFFFFF"/>
        </w:rPr>
        <w:t>1.</w:t>
      </w:r>
      <w:r>
        <w:rPr>
          <w:rFonts w:hint="eastAsia" w:ascii="方正仿宋_GBK" w:hAnsi="方正仿宋_GBK" w:eastAsia="方正仿宋_GBK" w:cs="方正仿宋_GBK"/>
          <w:b w:val="0"/>
          <w:bCs/>
          <w:sz w:val="32"/>
          <w:szCs w:val="32"/>
          <w:highlight w:val="none"/>
          <w:shd w:val="clear" w:color="auto" w:fill="FFFFFF"/>
        </w:rPr>
        <w:t>项目支出绩效自评汇总表</w:t>
      </w:r>
    </w:p>
    <w:tbl>
      <w:tblPr>
        <w:tblStyle w:val="7"/>
        <w:tblW w:w="5000" w:type="pct"/>
        <w:tblInd w:w="0" w:type="dxa"/>
        <w:tblLayout w:type="autofit"/>
        <w:tblCellMar>
          <w:top w:w="0" w:type="dxa"/>
          <w:left w:w="108" w:type="dxa"/>
          <w:bottom w:w="0" w:type="dxa"/>
          <w:right w:w="108" w:type="dxa"/>
        </w:tblCellMar>
      </w:tblPr>
      <w:tblGrid>
        <w:gridCol w:w="1569"/>
        <w:gridCol w:w="5683"/>
        <w:gridCol w:w="1979"/>
      </w:tblGrid>
      <w:tr>
        <w:tblPrEx>
          <w:tblCellMar>
            <w:top w:w="0" w:type="dxa"/>
            <w:left w:w="108" w:type="dxa"/>
            <w:bottom w:w="0" w:type="dxa"/>
            <w:right w:w="108" w:type="dxa"/>
          </w:tblCellMar>
        </w:tblPrEx>
        <w:trPr>
          <w:trHeight w:val="345" w:hRule="atLeast"/>
        </w:trPr>
        <w:tc>
          <w:tcPr>
            <w:tcW w:w="5000" w:type="pct"/>
            <w:gridSpan w:val="3"/>
            <w:tcBorders>
              <w:top w:val="nil"/>
              <w:left w:val="nil"/>
              <w:bottom w:val="single" w:color="auto" w:sz="4" w:space="0"/>
              <w:right w:val="nil"/>
            </w:tcBorders>
            <w:shd w:val="clear" w:color="auto" w:fill="auto"/>
            <w:vAlign w:val="center"/>
          </w:tcPr>
          <w:p>
            <w:pPr>
              <w:jc w:val="center"/>
              <w:rPr>
                <w:rFonts w:hint="default" w:ascii="方正仿宋_GBK" w:eastAsia="方正仿宋_GBK" w:cs="宋体"/>
                <w:b w:val="0"/>
                <w:bCs/>
                <w:color w:val="000000"/>
                <w:sz w:val="32"/>
                <w:szCs w:val="32"/>
              </w:rPr>
            </w:pPr>
          </w:p>
        </w:tc>
      </w:tr>
      <w:tr>
        <w:tblPrEx>
          <w:tblCellMar>
            <w:top w:w="0" w:type="dxa"/>
            <w:left w:w="108" w:type="dxa"/>
            <w:bottom w:w="0" w:type="dxa"/>
            <w:right w:w="108" w:type="dxa"/>
          </w:tblCellMar>
        </w:tblPrEx>
        <w:trPr>
          <w:trHeight w:val="555" w:hRule="atLeast"/>
        </w:trPr>
        <w:tc>
          <w:tcPr>
            <w:tcW w:w="850"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val="0"/>
                <w:bCs/>
                <w:color w:val="000000"/>
                <w:sz w:val="32"/>
                <w:szCs w:val="32"/>
              </w:rPr>
            </w:pPr>
            <w:r>
              <w:rPr>
                <w:rFonts w:ascii="方正仿宋_GBK" w:eastAsia="方正仿宋_GBK" w:cs="宋体"/>
                <w:b w:val="0"/>
                <w:bCs/>
                <w:color w:val="000000"/>
                <w:sz w:val="32"/>
                <w:szCs w:val="32"/>
              </w:rPr>
              <w:t>序号</w:t>
            </w:r>
          </w:p>
        </w:tc>
        <w:tc>
          <w:tcPr>
            <w:tcW w:w="3078" w:type="pct"/>
            <w:tcBorders>
              <w:top w:val="nil"/>
              <w:left w:val="nil"/>
              <w:bottom w:val="single" w:color="auto" w:sz="4" w:space="0"/>
              <w:right w:val="single" w:color="auto" w:sz="4" w:space="0"/>
            </w:tcBorders>
            <w:shd w:val="clear" w:color="auto" w:fill="auto"/>
            <w:vAlign w:val="center"/>
          </w:tcPr>
          <w:p>
            <w:pPr>
              <w:jc w:val="center"/>
              <w:rPr>
                <w:rFonts w:hint="default" w:ascii="方正仿宋_GBK" w:eastAsia="方正仿宋_GBK" w:cs="宋体"/>
                <w:b w:val="0"/>
                <w:bCs/>
                <w:color w:val="000000"/>
                <w:sz w:val="32"/>
                <w:szCs w:val="32"/>
              </w:rPr>
            </w:pPr>
            <w:r>
              <w:rPr>
                <w:rFonts w:ascii="方正仿宋_GBK" w:eastAsia="方正仿宋_GBK" w:cs="宋体"/>
                <w:b w:val="0"/>
                <w:bCs/>
                <w:color w:val="000000"/>
                <w:sz w:val="32"/>
                <w:szCs w:val="32"/>
              </w:rPr>
              <w:t>项目名称</w:t>
            </w:r>
          </w:p>
        </w:tc>
        <w:tc>
          <w:tcPr>
            <w:tcW w:w="1070" w:type="pct"/>
            <w:tcBorders>
              <w:top w:val="nil"/>
              <w:left w:val="nil"/>
              <w:bottom w:val="single" w:color="auto" w:sz="4" w:space="0"/>
              <w:right w:val="single" w:color="auto" w:sz="4" w:space="0"/>
            </w:tcBorders>
            <w:shd w:val="clear" w:color="auto" w:fill="auto"/>
            <w:noWrap/>
            <w:vAlign w:val="center"/>
          </w:tcPr>
          <w:p>
            <w:pPr>
              <w:jc w:val="center"/>
              <w:rPr>
                <w:rFonts w:hint="default" w:ascii="方正仿宋_GBK" w:eastAsia="方正仿宋_GBK" w:cs="宋体"/>
                <w:b w:val="0"/>
                <w:bCs/>
                <w:color w:val="000000"/>
                <w:sz w:val="32"/>
                <w:szCs w:val="32"/>
              </w:rPr>
            </w:pPr>
            <w:r>
              <w:rPr>
                <w:rFonts w:ascii="方正仿宋_GBK" w:eastAsia="方正仿宋_GBK" w:cs="宋体"/>
                <w:b w:val="0"/>
                <w:bCs/>
                <w:color w:val="000000"/>
                <w:sz w:val="32"/>
                <w:szCs w:val="32"/>
              </w:rPr>
              <w:t>自评得分</w:t>
            </w:r>
          </w:p>
        </w:tc>
      </w:tr>
      <w:tr>
        <w:tblPrEx>
          <w:tblCellMar>
            <w:top w:w="0" w:type="dxa"/>
            <w:left w:w="108" w:type="dxa"/>
            <w:bottom w:w="0" w:type="dxa"/>
            <w:right w:w="108" w:type="dxa"/>
          </w:tblCellMar>
        </w:tblPrEx>
        <w:trPr>
          <w:trHeight w:val="555" w:hRule="atLeast"/>
        </w:trPr>
        <w:tc>
          <w:tcPr>
            <w:tcW w:w="850" w:type="pct"/>
            <w:tcBorders>
              <w:top w:val="nil"/>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val="0"/>
                <w:bCs/>
                <w:color w:val="000000"/>
                <w:sz w:val="32"/>
                <w:szCs w:val="32"/>
                <w:lang w:val="en-US" w:eastAsia="zh-CN"/>
              </w:rPr>
            </w:pPr>
            <w:r>
              <w:rPr>
                <w:rFonts w:hint="eastAsia" w:ascii="方正仿宋_GBK" w:hAnsi="Times New Roman" w:eastAsia="方正仿宋_GBK"/>
                <w:b w:val="0"/>
                <w:bCs/>
                <w:color w:val="000000"/>
                <w:sz w:val="32"/>
                <w:szCs w:val="32"/>
                <w:lang w:val="en-US" w:eastAsia="zh-CN"/>
              </w:rPr>
              <w:t>1</w:t>
            </w:r>
          </w:p>
        </w:tc>
        <w:tc>
          <w:tcPr>
            <w:tcW w:w="3078" w:type="pct"/>
            <w:tcBorders>
              <w:top w:val="nil"/>
              <w:left w:val="nil"/>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val="0"/>
                <w:bCs/>
                <w:color w:val="000000"/>
                <w:sz w:val="32"/>
                <w:szCs w:val="32"/>
              </w:rPr>
            </w:pPr>
            <w:r>
              <w:rPr>
                <w:rFonts w:hint="default" w:ascii="方正仿宋_GBK" w:hAnsi="Times New Roman" w:eastAsia="方正仿宋_GBK"/>
                <w:b w:val="0"/>
                <w:bCs/>
                <w:color w:val="000000"/>
                <w:sz w:val="32"/>
                <w:szCs w:val="32"/>
              </w:rPr>
              <w:t>退役军人服务</w:t>
            </w:r>
          </w:p>
        </w:tc>
        <w:tc>
          <w:tcPr>
            <w:tcW w:w="1070" w:type="pct"/>
            <w:tcBorders>
              <w:top w:val="nil"/>
              <w:left w:val="nil"/>
              <w:bottom w:val="single" w:color="auto" w:sz="4" w:space="0"/>
              <w:right w:val="single" w:color="auto" w:sz="4" w:space="0"/>
            </w:tcBorders>
            <w:shd w:val="clear" w:color="auto" w:fill="auto"/>
            <w:noWrap/>
            <w:vAlign w:val="center"/>
          </w:tcPr>
          <w:p>
            <w:pPr>
              <w:jc w:val="center"/>
              <w:rPr>
                <w:rFonts w:hint="default" w:ascii="方正仿宋_GBK" w:hAnsi="Times New Roman" w:eastAsia="方正仿宋_GBK"/>
                <w:b w:val="0"/>
                <w:bCs/>
                <w:color w:val="000000"/>
                <w:sz w:val="32"/>
                <w:szCs w:val="32"/>
                <w:lang w:val="en-US" w:eastAsia="zh-CN"/>
              </w:rPr>
            </w:pPr>
            <w:r>
              <w:rPr>
                <w:rFonts w:hint="eastAsia" w:ascii="方正仿宋_GBK" w:hAnsi="Times New Roman" w:eastAsia="方正仿宋_GBK"/>
                <w:b w:val="0"/>
                <w:bCs/>
                <w:color w:val="000000"/>
                <w:sz w:val="32"/>
                <w:szCs w:val="32"/>
                <w:lang w:val="en-US" w:eastAsia="zh-CN"/>
              </w:rPr>
              <w:t>100</w:t>
            </w:r>
          </w:p>
        </w:tc>
      </w:tr>
    </w:tbl>
    <w:p>
      <w:pPr>
        <w:pStyle w:val="12"/>
        <w:keepNext w:val="0"/>
        <w:keepLines w:val="0"/>
        <w:pageBreakBefore w:val="0"/>
        <w:kinsoku/>
        <w:wordWrap/>
        <w:overflowPunct/>
        <w:topLinePunct w:val="0"/>
        <w:autoSpaceDN/>
        <w:bidi w:val="0"/>
        <w:adjustRightInd/>
        <w:snapToGrid/>
        <w:spacing w:before="0" w:beforeAutospacing="0" w:after="0" w:afterAutospacing="0" w:line="600" w:lineRule="exact"/>
        <w:ind w:firstLine="560"/>
        <w:textAlignment w:val="auto"/>
        <w:rPr>
          <w:rFonts w:hint="eastAsia" w:ascii="方正仿宋_GBK" w:hAnsi="方正仿宋_GBK" w:eastAsia="方正仿宋_GBK" w:cs="方正仿宋_GBK"/>
          <w:b w:val="0"/>
          <w:bCs/>
          <w:sz w:val="32"/>
          <w:szCs w:val="32"/>
          <w:highlight w:val="none"/>
          <w:shd w:val="clear" w:color="auto" w:fill="FFFFFF"/>
        </w:rPr>
      </w:pPr>
      <w:r>
        <w:rPr>
          <w:rFonts w:hint="eastAsia" w:ascii="方正仿宋_GBK" w:hAnsi="方正仿宋_GBK" w:eastAsia="方正仿宋_GBK" w:cs="方正仿宋_GBK"/>
          <w:b w:val="0"/>
          <w:bCs/>
          <w:sz w:val="32"/>
          <w:szCs w:val="32"/>
          <w:highlight w:val="none"/>
          <w:shd w:val="clear" w:color="auto" w:fill="FFFFFF"/>
        </w:rPr>
        <w:t>2.项目支出绩效自评表</w:t>
      </w:r>
    </w:p>
    <w:tbl>
      <w:tblPr>
        <w:tblStyle w:val="7"/>
        <w:tblW w:w="4998" w:type="pct"/>
        <w:tblInd w:w="0" w:type="dxa"/>
        <w:tblLayout w:type="autofit"/>
        <w:tblCellMar>
          <w:top w:w="0" w:type="dxa"/>
          <w:left w:w="108" w:type="dxa"/>
          <w:bottom w:w="0" w:type="dxa"/>
          <w:right w:w="108" w:type="dxa"/>
        </w:tblCellMar>
      </w:tblPr>
      <w:tblGrid>
        <w:gridCol w:w="1124"/>
        <w:gridCol w:w="74"/>
        <w:gridCol w:w="591"/>
        <w:gridCol w:w="694"/>
        <w:gridCol w:w="915"/>
        <w:gridCol w:w="581"/>
        <w:gridCol w:w="561"/>
        <w:gridCol w:w="273"/>
        <w:gridCol w:w="1102"/>
        <w:gridCol w:w="179"/>
        <w:gridCol w:w="642"/>
        <w:gridCol w:w="238"/>
        <w:gridCol w:w="581"/>
        <w:gridCol w:w="819"/>
        <w:gridCol w:w="827"/>
        <w:gridCol w:w="26"/>
      </w:tblGrid>
      <w:tr>
        <w:tblPrEx>
          <w:tblCellMar>
            <w:top w:w="0" w:type="dxa"/>
            <w:left w:w="108" w:type="dxa"/>
            <w:bottom w:w="0" w:type="dxa"/>
            <w:right w:w="108" w:type="dxa"/>
          </w:tblCellMar>
        </w:tblPrEx>
        <w:trPr>
          <w:trHeight w:val="540" w:hRule="atLeast"/>
        </w:trPr>
        <w:tc>
          <w:tcPr>
            <w:tcW w:w="6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项目名称：</w:t>
            </w:r>
          </w:p>
        </w:tc>
        <w:tc>
          <w:tcPr>
            <w:tcW w:w="1192" w:type="pct"/>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s="宋体"/>
                <w:color w:val="000000"/>
                <w:sz w:val="18"/>
                <w:szCs w:val="18"/>
                <w:lang w:eastAsia="zh-CN"/>
              </w:rPr>
            </w:pPr>
            <w:r>
              <w:rPr>
                <w:rFonts w:hint="eastAsia" w:eastAsia="宋体" w:cs="宋体"/>
                <w:color w:val="000000"/>
                <w:sz w:val="18"/>
                <w:szCs w:val="18"/>
                <w:lang w:eastAsia="zh-CN"/>
              </w:rPr>
              <w:t>退役军人服务</w:t>
            </w:r>
          </w:p>
        </w:tc>
        <w:tc>
          <w:tcPr>
            <w:tcW w:w="619" w:type="pct"/>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执行率得分：</w:t>
            </w:r>
          </w:p>
        </w:tc>
        <w:tc>
          <w:tcPr>
            <w:tcW w:w="841" w:type="pct"/>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hint="eastAsia" w:cs="宋体"/>
                <w:b/>
                <w:bCs/>
                <w:color w:val="000000"/>
                <w:sz w:val="18"/>
                <w:szCs w:val="18"/>
                <w:lang w:val="en-US" w:eastAsia="zh-CN"/>
              </w:rPr>
              <w:t>10</w:t>
            </w:r>
          </w:p>
        </w:tc>
        <w:tc>
          <w:tcPr>
            <w:tcW w:w="477" w:type="pct"/>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自评总分：</w:t>
            </w:r>
          </w:p>
        </w:tc>
        <w:tc>
          <w:tcPr>
            <w:tcW w:w="1219" w:type="pct"/>
            <w:gridSpan w:val="4"/>
            <w:tcBorders>
              <w:top w:val="single" w:color="auto" w:sz="4" w:space="0"/>
              <w:left w:val="nil"/>
              <w:bottom w:val="single" w:color="auto" w:sz="4" w:space="0"/>
              <w:right w:val="single" w:color="auto" w:sz="4" w:space="0"/>
            </w:tcBorders>
            <w:shd w:val="clear" w:color="auto" w:fill="auto"/>
            <w:vAlign w:val="center"/>
          </w:tcPr>
          <w:p>
            <w:pPr>
              <w:jc w:val="center"/>
              <w:rPr>
                <w:rFonts w:hint="default" w:eastAsia="宋体" w:cs="宋体"/>
                <w:b/>
                <w:bCs/>
                <w:color w:val="000000"/>
                <w:sz w:val="18"/>
                <w:szCs w:val="18"/>
                <w:lang w:val="en-US" w:eastAsia="zh-CN"/>
              </w:rPr>
            </w:pPr>
            <w:r>
              <w:rPr>
                <w:rFonts w:hint="eastAsia" w:cs="宋体"/>
                <w:b/>
                <w:bCs/>
                <w:color w:val="000000"/>
                <w:sz w:val="18"/>
                <w:szCs w:val="18"/>
                <w:lang w:val="en-US" w:eastAsia="zh-CN"/>
              </w:rPr>
              <w:t>100</w:t>
            </w:r>
          </w:p>
        </w:tc>
      </w:tr>
      <w:tr>
        <w:tblPrEx>
          <w:tblCellMar>
            <w:top w:w="0" w:type="dxa"/>
            <w:left w:w="108" w:type="dxa"/>
            <w:bottom w:w="0" w:type="dxa"/>
            <w:right w:w="108" w:type="dxa"/>
          </w:tblCellMar>
        </w:tblPrEx>
        <w:trPr>
          <w:gridAfter w:val="1"/>
          <w:wAfter w:w="14" w:type="pct"/>
          <w:trHeight w:val="435" w:hRule="atLeast"/>
        </w:trPr>
        <w:tc>
          <w:tcPr>
            <w:tcW w:w="4985"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绩效目标</w:t>
            </w:r>
          </w:p>
        </w:tc>
      </w:tr>
      <w:tr>
        <w:tblPrEx>
          <w:tblCellMar>
            <w:top w:w="0" w:type="dxa"/>
            <w:left w:w="108" w:type="dxa"/>
            <w:bottom w:w="0" w:type="dxa"/>
            <w:right w:w="108" w:type="dxa"/>
          </w:tblCellMar>
        </w:tblPrEx>
        <w:trPr>
          <w:gridAfter w:val="1"/>
          <w:wAfter w:w="14" w:type="pct"/>
          <w:trHeight w:val="435" w:hRule="atLeast"/>
        </w:trPr>
        <w:tc>
          <w:tcPr>
            <w:tcW w:w="184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sz w:val="18"/>
                <w:szCs w:val="18"/>
              </w:rPr>
            </w:pPr>
            <w:r>
              <w:rPr>
                <w:rFonts w:cs="宋体"/>
                <w:b/>
                <w:bCs/>
                <w:sz w:val="18"/>
                <w:szCs w:val="18"/>
              </w:rPr>
              <w:t>年初绩效目标</w:t>
            </w:r>
          </w:p>
        </w:tc>
        <w:tc>
          <w:tcPr>
            <w:tcW w:w="1461" w:type="pct"/>
            <w:gridSpan w:val="5"/>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sz w:val="18"/>
                <w:szCs w:val="18"/>
              </w:rPr>
            </w:pPr>
            <w:r>
              <w:rPr>
                <w:rFonts w:cs="宋体"/>
                <w:b/>
                <w:bCs/>
                <w:sz w:val="18"/>
                <w:szCs w:val="18"/>
              </w:rPr>
              <w:t>全年（调整）绩效目标</w:t>
            </w:r>
          </w:p>
        </w:tc>
        <w:tc>
          <w:tcPr>
            <w:tcW w:w="1682" w:type="pct"/>
            <w:gridSpan w:val="5"/>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sz w:val="18"/>
                <w:szCs w:val="18"/>
              </w:rPr>
            </w:pPr>
            <w:r>
              <w:rPr>
                <w:rFonts w:cs="宋体"/>
                <w:b/>
                <w:bCs/>
                <w:sz w:val="18"/>
                <w:szCs w:val="18"/>
              </w:rPr>
              <w:t>全年目标实际完成情况</w:t>
            </w:r>
          </w:p>
        </w:tc>
      </w:tr>
      <w:tr>
        <w:tblPrEx>
          <w:tblCellMar>
            <w:top w:w="0" w:type="dxa"/>
            <w:left w:w="108" w:type="dxa"/>
            <w:bottom w:w="0" w:type="dxa"/>
            <w:right w:w="108" w:type="dxa"/>
          </w:tblCellMar>
        </w:tblPrEx>
        <w:trPr>
          <w:gridAfter w:val="1"/>
          <w:wAfter w:w="14" w:type="pct"/>
          <w:trHeight w:val="975" w:hRule="atLeast"/>
        </w:trPr>
        <w:tc>
          <w:tcPr>
            <w:tcW w:w="1841" w:type="pct"/>
            <w:gridSpan w:val="5"/>
            <w:tcBorders>
              <w:top w:val="single" w:color="auto" w:sz="4" w:space="0"/>
              <w:left w:val="single" w:color="auto" w:sz="4" w:space="0"/>
              <w:bottom w:val="single" w:color="auto" w:sz="4" w:space="0"/>
              <w:right w:val="single" w:color="auto" w:sz="4" w:space="0"/>
            </w:tcBorders>
            <w:shd w:val="clear" w:color="auto" w:fill="auto"/>
          </w:tcPr>
          <w:p>
            <w:pPr>
              <w:rPr>
                <w:rFonts w:hint="default" w:cs="宋体"/>
                <w:sz w:val="18"/>
                <w:szCs w:val="18"/>
              </w:rPr>
            </w:pPr>
            <w:r>
              <w:rPr>
                <w:rFonts w:hint="default" w:cs="宋体"/>
                <w:sz w:val="18"/>
                <w:szCs w:val="18"/>
              </w:rPr>
              <w:t>组织退役军人权益维护取得实效；宣传营造“拥军优属、拥政爱民”浓厚氛围，广泛开展“春节”、“八一”等重要节日走访慰问活动，设置双拥宣传牌、宣传橱窗、宣传横幅等；提供退役军人就业创业服务，组织退役士兵开展职业教育和技能培训，提供退役军人再就业帮扶岗位；完善新筹备社区规范化阵地建设，打造村社区“退役军人之家”。</w:t>
            </w:r>
          </w:p>
        </w:tc>
        <w:tc>
          <w:tcPr>
            <w:tcW w:w="1461" w:type="pct"/>
            <w:gridSpan w:val="5"/>
            <w:tcBorders>
              <w:top w:val="single" w:color="auto" w:sz="4" w:space="0"/>
              <w:left w:val="nil"/>
              <w:bottom w:val="single" w:color="auto" w:sz="4" w:space="0"/>
              <w:right w:val="single" w:color="auto" w:sz="4" w:space="0"/>
            </w:tcBorders>
            <w:shd w:val="clear" w:color="auto" w:fill="auto"/>
          </w:tcPr>
          <w:p>
            <w:pPr>
              <w:keepNext w:val="0"/>
              <w:keepLines w:val="0"/>
              <w:widowControl/>
              <w:suppressLineNumbers w:val="0"/>
              <w:jc w:val="left"/>
            </w:pPr>
          </w:p>
          <w:p>
            <w:pPr>
              <w:rPr>
                <w:rFonts w:hint="default" w:cs="宋体"/>
                <w:sz w:val="18"/>
                <w:szCs w:val="18"/>
              </w:rPr>
            </w:pPr>
          </w:p>
        </w:tc>
        <w:tc>
          <w:tcPr>
            <w:tcW w:w="1682" w:type="pct"/>
            <w:gridSpan w:val="5"/>
            <w:tcBorders>
              <w:top w:val="single" w:color="auto" w:sz="4" w:space="0"/>
              <w:left w:val="nil"/>
              <w:bottom w:val="single" w:color="auto" w:sz="4" w:space="0"/>
              <w:right w:val="single" w:color="auto" w:sz="4" w:space="0"/>
            </w:tcBorders>
            <w:shd w:val="clear" w:color="auto" w:fill="auto"/>
          </w:tcPr>
          <w:p>
            <w:pPr>
              <w:keepNext w:val="0"/>
              <w:keepLines w:val="0"/>
              <w:widowControl/>
              <w:suppressLineNumbers w:val="0"/>
              <w:jc w:val="left"/>
              <w:rPr>
                <w:rFonts w:hint="default" w:cs="宋体"/>
                <w:sz w:val="18"/>
                <w:szCs w:val="18"/>
              </w:rPr>
            </w:pPr>
            <w:r>
              <w:rPr>
                <w:rFonts w:hint="default" w:cs="宋体"/>
                <w:sz w:val="18"/>
                <w:szCs w:val="18"/>
              </w:rPr>
              <w:t>全年开展双拥宣传12次，提供退役军人再就业帮扶岗位25余个，退役军人走访慰问5次，新社区规范化阵地建设5个。</w:t>
            </w:r>
          </w:p>
        </w:tc>
      </w:tr>
      <w:tr>
        <w:tblPrEx>
          <w:tblCellMar>
            <w:top w:w="0" w:type="dxa"/>
            <w:left w:w="108" w:type="dxa"/>
            <w:bottom w:w="0" w:type="dxa"/>
            <w:right w:w="108" w:type="dxa"/>
          </w:tblCellMar>
        </w:tblPrEx>
        <w:trPr>
          <w:gridAfter w:val="1"/>
          <w:wAfter w:w="14" w:type="pct"/>
          <w:trHeight w:val="435" w:hRule="atLeast"/>
        </w:trPr>
        <w:tc>
          <w:tcPr>
            <w:tcW w:w="4985"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绩效指标</w:t>
            </w:r>
          </w:p>
        </w:tc>
      </w:tr>
      <w:tr>
        <w:tblPrEx>
          <w:tblCellMar>
            <w:top w:w="0" w:type="dxa"/>
            <w:left w:w="108" w:type="dxa"/>
            <w:bottom w:w="0" w:type="dxa"/>
            <w:right w:w="108" w:type="dxa"/>
          </w:tblCellMar>
        </w:tblPrEx>
        <w:trPr>
          <w:gridAfter w:val="1"/>
          <w:wAfter w:w="14" w:type="pct"/>
          <w:trHeight w:val="1080"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指标名称</w:t>
            </w:r>
          </w:p>
        </w:tc>
        <w:tc>
          <w:tcPr>
            <w:tcW w:w="360"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计量单位</w:t>
            </w:r>
          </w:p>
        </w:tc>
        <w:tc>
          <w:tcPr>
            <w:tcW w:w="376"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指标性质</w:t>
            </w:r>
          </w:p>
        </w:tc>
        <w:tc>
          <w:tcPr>
            <w:tcW w:w="495"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指标值</w:t>
            </w:r>
          </w:p>
        </w:tc>
        <w:tc>
          <w:tcPr>
            <w:tcW w:w="315"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全年完成值</w:t>
            </w:r>
          </w:p>
        </w:tc>
        <w:tc>
          <w:tcPr>
            <w:tcW w:w="452"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偏离度（%）</w:t>
            </w:r>
          </w:p>
        </w:tc>
        <w:tc>
          <w:tcPr>
            <w:tcW w:w="597"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得分系数（%）</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指标权重</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指标得分</w:t>
            </w:r>
          </w:p>
        </w:tc>
        <w:tc>
          <w:tcPr>
            <w:tcW w:w="444"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是否核心指标</w:t>
            </w:r>
          </w:p>
        </w:tc>
        <w:tc>
          <w:tcPr>
            <w:tcW w:w="445"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说明</w:t>
            </w:r>
          </w:p>
        </w:tc>
      </w:tr>
      <w:tr>
        <w:tblPrEx>
          <w:tblCellMar>
            <w:top w:w="0" w:type="dxa"/>
            <w:left w:w="108" w:type="dxa"/>
            <w:bottom w:w="0" w:type="dxa"/>
            <w:right w:w="108" w:type="dxa"/>
          </w:tblCellMar>
        </w:tblPrEx>
        <w:trPr>
          <w:gridAfter w:val="1"/>
          <w:wAfter w:w="14" w:type="pct"/>
          <w:trHeight w:val="435"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双拥创建宣传</w:t>
            </w:r>
          </w:p>
        </w:tc>
        <w:tc>
          <w:tcPr>
            <w:tcW w:w="360"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次</w:t>
            </w:r>
          </w:p>
        </w:tc>
        <w:tc>
          <w:tcPr>
            <w:tcW w:w="37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w:t>
            </w:r>
          </w:p>
        </w:tc>
        <w:tc>
          <w:tcPr>
            <w:tcW w:w="49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12</w:t>
            </w:r>
          </w:p>
        </w:tc>
        <w:tc>
          <w:tcPr>
            <w:tcW w:w="3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12</w:t>
            </w:r>
          </w:p>
        </w:tc>
        <w:tc>
          <w:tcPr>
            <w:tcW w:w="452"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0.00</w:t>
            </w:r>
          </w:p>
        </w:tc>
        <w:tc>
          <w:tcPr>
            <w:tcW w:w="597"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10.00</w:t>
            </w:r>
          </w:p>
        </w:tc>
        <w:tc>
          <w:tcPr>
            <w:tcW w:w="44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否</w:t>
            </w:r>
          </w:p>
        </w:tc>
        <w:tc>
          <w:tcPr>
            <w:tcW w:w="44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p>
        </w:tc>
      </w:tr>
      <w:tr>
        <w:tblPrEx>
          <w:tblCellMar>
            <w:top w:w="0" w:type="dxa"/>
            <w:left w:w="108" w:type="dxa"/>
            <w:bottom w:w="0" w:type="dxa"/>
            <w:right w:w="108" w:type="dxa"/>
          </w:tblCellMar>
        </w:tblPrEx>
        <w:trPr>
          <w:gridAfter w:val="1"/>
          <w:wAfter w:w="14" w:type="pct"/>
          <w:trHeight w:val="435"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退役军人再就业帮扶岗位</w:t>
            </w:r>
          </w:p>
        </w:tc>
        <w:tc>
          <w:tcPr>
            <w:tcW w:w="360"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个</w:t>
            </w:r>
          </w:p>
        </w:tc>
        <w:tc>
          <w:tcPr>
            <w:tcW w:w="37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w:t>
            </w:r>
          </w:p>
        </w:tc>
        <w:tc>
          <w:tcPr>
            <w:tcW w:w="49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25</w:t>
            </w:r>
          </w:p>
        </w:tc>
        <w:tc>
          <w:tcPr>
            <w:tcW w:w="3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25</w:t>
            </w:r>
          </w:p>
        </w:tc>
        <w:tc>
          <w:tcPr>
            <w:tcW w:w="452"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0.00</w:t>
            </w:r>
          </w:p>
        </w:tc>
        <w:tc>
          <w:tcPr>
            <w:tcW w:w="597"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30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30.00</w:t>
            </w:r>
          </w:p>
        </w:tc>
        <w:tc>
          <w:tcPr>
            <w:tcW w:w="44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r>
              <w:rPr>
                <w:rFonts w:hint="eastAsia" w:cs="宋体"/>
                <w:sz w:val="18"/>
                <w:szCs w:val="18"/>
                <w:lang w:val="en-US" w:eastAsia="zh-CN"/>
              </w:rPr>
              <w:t>是</w:t>
            </w:r>
          </w:p>
        </w:tc>
        <w:tc>
          <w:tcPr>
            <w:tcW w:w="44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p>
        </w:tc>
      </w:tr>
      <w:tr>
        <w:tblPrEx>
          <w:tblCellMar>
            <w:top w:w="0" w:type="dxa"/>
            <w:left w:w="108" w:type="dxa"/>
            <w:bottom w:w="0" w:type="dxa"/>
            <w:right w:w="108" w:type="dxa"/>
          </w:tblCellMar>
        </w:tblPrEx>
        <w:trPr>
          <w:gridAfter w:val="1"/>
          <w:wAfter w:w="14" w:type="pct"/>
          <w:trHeight w:val="435"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退役军人走访慰问</w:t>
            </w:r>
          </w:p>
        </w:tc>
        <w:tc>
          <w:tcPr>
            <w:tcW w:w="360"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次</w:t>
            </w:r>
          </w:p>
        </w:tc>
        <w:tc>
          <w:tcPr>
            <w:tcW w:w="37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w:t>
            </w:r>
          </w:p>
        </w:tc>
        <w:tc>
          <w:tcPr>
            <w:tcW w:w="49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5</w:t>
            </w:r>
          </w:p>
        </w:tc>
        <w:tc>
          <w:tcPr>
            <w:tcW w:w="3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5</w:t>
            </w:r>
          </w:p>
        </w:tc>
        <w:tc>
          <w:tcPr>
            <w:tcW w:w="452"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0.00</w:t>
            </w:r>
          </w:p>
        </w:tc>
        <w:tc>
          <w:tcPr>
            <w:tcW w:w="597"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20.00</w:t>
            </w:r>
          </w:p>
        </w:tc>
        <w:tc>
          <w:tcPr>
            <w:tcW w:w="44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r>
              <w:rPr>
                <w:rFonts w:hint="eastAsia" w:cs="宋体"/>
                <w:sz w:val="18"/>
                <w:szCs w:val="18"/>
                <w:lang w:val="en-US" w:eastAsia="zh-CN"/>
              </w:rPr>
              <w:t>否</w:t>
            </w:r>
          </w:p>
        </w:tc>
        <w:tc>
          <w:tcPr>
            <w:tcW w:w="44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p>
        </w:tc>
      </w:tr>
      <w:tr>
        <w:tblPrEx>
          <w:tblCellMar>
            <w:top w:w="0" w:type="dxa"/>
            <w:left w:w="108" w:type="dxa"/>
            <w:bottom w:w="0" w:type="dxa"/>
            <w:right w:w="108" w:type="dxa"/>
          </w:tblCellMar>
        </w:tblPrEx>
        <w:trPr>
          <w:gridAfter w:val="1"/>
          <w:wAfter w:w="14" w:type="pct"/>
          <w:trHeight w:val="435" w:hRule="atLeast"/>
        </w:trPr>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新社区规范化阵地建设</w:t>
            </w:r>
          </w:p>
        </w:tc>
        <w:tc>
          <w:tcPr>
            <w:tcW w:w="360"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个</w:t>
            </w:r>
          </w:p>
        </w:tc>
        <w:tc>
          <w:tcPr>
            <w:tcW w:w="37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w:t>
            </w:r>
          </w:p>
        </w:tc>
        <w:tc>
          <w:tcPr>
            <w:tcW w:w="49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5</w:t>
            </w:r>
          </w:p>
        </w:tc>
        <w:tc>
          <w:tcPr>
            <w:tcW w:w="31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5</w:t>
            </w:r>
          </w:p>
        </w:tc>
        <w:tc>
          <w:tcPr>
            <w:tcW w:w="4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0.00</w:t>
            </w:r>
          </w:p>
        </w:tc>
        <w:tc>
          <w:tcPr>
            <w:tcW w:w="59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w:t>
            </w:r>
          </w:p>
        </w:tc>
        <w:tc>
          <w:tcPr>
            <w:tcW w:w="444"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30</w:t>
            </w:r>
          </w:p>
        </w:tc>
        <w:tc>
          <w:tcPr>
            <w:tcW w:w="444"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30.00</w:t>
            </w:r>
          </w:p>
        </w:tc>
        <w:tc>
          <w:tcPr>
            <w:tcW w:w="444"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r>
              <w:rPr>
                <w:rFonts w:hint="eastAsia" w:cs="宋体"/>
                <w:sz w:val="18"/>
                <w:szCs w:val="18"/>
                <w:lang w:val="en-US" w:eastAsia="zh-CN"/>
              </w:rPr>
              <w:t>是</w:t>
            </w:r>
          </w:p>
        </w:tc>
        <w:tc>
          <w:tcPr>
            <w:tcW w:w="44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p>
        </w:tc>
      </w:tr>
    </w:tbl>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textAlignment w:val="auto"/>
        <w:rPr>
          <w:rFonts w:ascii="楷体" w:hAnsi="楷体" w:eastAsia="楷体" w:cs="楷体"/>
          <w:b w:val="0"/>
          <w:bCs w:val="0"/>
          <w:sz w:val="32"/>
          <w:szCs w:val="32"/>
          <w:shd w:val="clear" w:color="auto" w:fill="FFFFFF"/>
        </w:rPr>
      </w:pPr>
      <w:bookmarkStart w:id="0" w:name="_GoBack"/>
      <w:bookmarkEnd w:id="0"/>
      <w:r>
        <w:rPr>
          <w:rFonts w:hint="eastAsia" w:ascii="楷体" w:hAnsi="楷体" w:eastAsia="楷体" w:cs="楷体"/>
          <w:b w:val="0"/>
          <w:bCs w:val="0"/>
          <w:sz w:val="32"/>
          <w:szCs w:val="32"/>
          <w:shd w:val="clear" w:color="auto" w:fill="FFFFFF"/>
        </w:rPr>
        <w:t>（二）单位绩效评价情况</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本单位没有委托第三方开展绩效评价</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ind w:firstLine="0" w:firstLineChars="0"/>
        <w:textAlignment w:val="auto"/>
        <w:rPr>
          <w:rFonts w:ascii="楷体" w:hAnsi="楷体" w:eastAsia="楷体" w:cs="楷体"/>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 xml:space="preserve">   </w:t>
      </w:r>
      <w:r>
        <w:rPr>
          <w:rFonts w:hint="eastAsia" w:ascii="方正仿宋_GBK" w:hAnsi="方正仿宋_GBK" w:eastAsia="方正仿宋_GBK" w:cs="方正仿宋_GBK"/>
          <w:b w:val="0"/>
          <w:bCs w:val="0"/>
          <w:sz w:val="32"/>
          <w:szCs w:val="32"/>
          <w:shd w:val="clear" w:color="auto" w:fill="FFFFFF"/>
          <w:lang w:val="en-US" w:eastAsia="zh-CN"/>
        </w:rPr>
        <w:t xml:space="preserve"> </w:t>
      </w:r>
      <w:r>
        <w:rPr>
          <w:rFonts w:hint="eastAsia" w:ascii="楷体" w:hAnsi="楷体" w:eastAsia="楷体" w:cs="楷体"/>
          <w:b w:val="0"/>
          <w:bCs w:val="0"/>
          <w:sz w:val="32"/>
          <w:szCs w:val="32"/>
          <w:shd w:val="clear" w:color="auto" w:fill="FFFFFF"/>
        </w:rPr>
        <w:t>（三）财政绩效评价情况</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lang w:val="en-US" w:eastAsia="zh-CN"/>
        </w:rPr>
        <w:t>区财政局未委托第三方对我单位开展绩效评价。</w:t>
      </w:r>
    </w:p>
    <w:p>
      <w:pPr>
        <w:pStyle w:val="6"/>
        <w:keepNext w:val="0"/>
        <w:keepLines w:val="0"/>
        <w:pageBreakBefore w:val="0"/>
        <w:widowControl/>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hint="eastAsia" w:ascii="方正仿宋_GBK" w:hAnsi="方正仿宋_GBK" w:eastAsia="方正仿宋_GBK" w:cs="方正仿宋_GBK"/>
          <w:b w:val="0"/>
          <w:bCs w:val="0"/>
          <w:sz w:val="32"/>
          <w:szCs w:val="32"/>
          <w:shd w:val="clear" w:color="auto" w:fill="FFFFFF"/>
          <w:lang w:val="en-US" w:eastAsia="zh-CN"/>
        </w:rPr>
        <w:t xml:space="preserve">    </w:t>
      </w:r>
      <w:r>
        <w:rPr>
          <w:rStyle w:val="10"/>
          <w:rFonts w:ascii="黑体" w:hAnsi="黑体" w:eastAsia="黑体" w:cs="黑体"/>
          <w:b w:val="0"/>
          <w:bCs w:val="0"/>
          <w:sz w:val="32"/>
          <w:szCs w:val="32"/>
          <w:shd w:val="clear" w:color="auto" w:fill="FFFFFF"/>
        </w:rPr>
        <w:t>六、专业名词解释</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ascii="楷体" w:hAnsi="楷体" w:eastAsia="楷体" w:cs="楷体"/>
          <w:b w:val="0"/>
          <w:bCs w:val="0"/>
          <w:sz w:val="32"/>
          <w:szCs w:val="32"/>
          <w:shd w:val="clear" w:color="auto" w:fill="FFFFFF"/>
        </w:rPr>
        <w:t>（一）财政拨款收入：</w:t>
      </w:r>
      <w:r>
        <w:rPr>
          <w:rFonts w:ascii="方正仿宋_GBK" w:hAnsi="方正仿宋_GBK" w:eastAsia="方正仿宋_GBK" w:cs="方正仿宋_GBK"/>
          <w:b w:val="0"/>
          <w:bCs w:val="0"/>
          <w:sz w:val="32"/>
          <w:szCs w:val="32"/>
          <w:shd w:val="clear" w:color="auto" w:fill="FFFFFF"/>
        </w:rPr>
        <w:t>指本年度从本级财政部门取得的财政拨款，包括一般公共预算财政拨款和政府性基金预算财政拨款。</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（二）事业收入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指事业单位开展专业业务活动及其辅助活动取得的现金流入；事业单位收到的财政专户实际核拨的教育收费等资金在此反映。</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（三）经营收入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指事业单位在专业业务活动及其辅助活动之外开展非独立核算经营活动取得的现金流入。</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（四）其他收入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（五）使用非财政拨款结余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（六）年初结转和结余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指单位上年结转本年使用的基本支出结转、项目支出结转和结余、经营结余。</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（七）结余分配</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指单位按照国家有关规定，缴纳所得税、提取专用基金、转入非财政拨款结余等当年结余的分配情况。</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（八）年末结转和结余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指单位结转下年的基本支出结转、项目支出结转和结余、经营结余。</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（九）基本支出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（十）项目支出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指在基本支出之外为完成特定行政任务和事业发展目标所发生的支出。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（十一）经营支出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指事业单位在专业业务活动及其辅助活动之外开展非独立核算经营活动发生的支出。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（十二）“三公”经费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（十三）机关运行经费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（十四）工资福利支出（支出经济分类科目类级）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反映单位开支的在职职工和编制外长期聘用人员的各类劳动报酬，以及为上述人员缴纳的各项社会保险费等。</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（十五）商品和服务支出（支出经济分类科目类级）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反映单位购买商品和服务的支出（不包括用于购置固定资产的支出、战略性和应急储备支出）。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（十六）对个人和家庭的补助（支出经济分类科目类级）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反映用于对个人和家庭的补助支出。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（十七）其他资本性支出（支出经济分类科目类级）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hint="eastAsia" w:ascii="方正仿宋_GBK" w:hAnsi="方正仿宋_GBK" w:eastAsia="方正仿宋_GBK" w:cs="方正仿宋_GBK"/>
          <w:b w:val="0"/>
          <w:bCs w:val="0"/>
          <w:sz w:val="32"/>
          <w:szCs w:val="32"/>
          <w:shd w:val="clear" w:color="auto" w:fill="FFFFFF"/>
          <w:lang w:val="en-US" w:eastAsia="zh-CN"/>
        </w:rPr>
        <w:t xml:space="preserve">    </w:t>
      </w:r>
      <w:r>
        <w:rPr>
          <w:rStyle w:val="10"/>
          <w:rFonts w:ascii="黑体" w:hAnsi="黑体" w:eastAsia="黑体" w:cs="黑体"/>
          <w:b w:val="0"/>
          <w:bCs w:val="0"/>
          <w:sz w:val="32"/>
          <w:szCs w:val="32"/>
          <w:shd w:val="clear" w:color="auto" w:fill="FFFFFF"/>
        </w:rPr>
        <w:t>七、决算公开联系方式及信息反馈渠道</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textAlignment w:val="auto"/>
        <w:rPr>
          <w:rFonts w:hint="default" w:cs="宋体"/>
          <w:b w:val="0"/>
          <w:bCs w:val="0"/>
          <w:sz w:val="32"/>
          <w:szCs w:val="32"/>
        </w:rPr>
      </w:pPr>
      <w:r>
        <w:rPr>
          <w:rFonts w:ascii="方正仿宋_GBK" w:hAnsi="方正仿宋_GBK" w:eastAsia="方正仿宋_GBK" w:cs="方正仿宋_GBK"/>
          <w:b w:val="0"/>
          <w:bCs w:val="0"/>
          <w:sz w:val="32"/>
          <w:szCs w:val="32"/>
          <w:shd w:val="clear" w:color="auto" w:fill="FFFFFF"/>
        </w:rPr>
        <w:t>本单位决算公开信息反馈和联系方式：</w:t>
      </w:r>
      <w:r>
        <w:rPr>
          <w:rFonts w:hint="eastAsia" w:ascii="方正仿宋_GBK" w:hAnsi="方正仿宋_GBK" w:eastAsia="方正仿宋_GBK" w:cs="方正仿宋_GBK"/>
          <w:b w:val="0"/>
          <w:bCs w:val="0"/>
          <w:sz w:val="32"/>
          <w:szCs w:val="32"/>
          <w:shd w:val="clear" w:color="auto" w:fill="FFFFFF"/>
          <w:lang w:eastAsia="zh-CN"/>
        </w:rPr>
        <w:t>聂同志</w:t>
      </w:r>
      <w:r>
        <w:rPr>
          <w:rFonts w:hint="eastAsia" w:ascii="方正仿宋_GBK" w:hAnsi="方正仿宋_GBK" w:eastAsia="方正仿宋_GBK" w:cs="方正仿宋_GBK"/>
          <w:b w:val="0"/>
          <w:bCs w:val="0"/>
          <w:sz w:val="32"/>
          <w:szCs w:val="32"/>
          <w:shd w:val="clear" w:color="auto" w:fill="FFFFFF"/>
          <w:lang w:val="en-US" w:eastAsia="zh-CN"/>
        </w:rPr>
        <w:t xml:space="preserve"> 72865345</w:t>
      </w:r>
    </w:p>
    <w:sectPr>
      <w:headerReference r:id="rId3" w:type="default"/>
      <w:footerReference r:id="rId4" w:type="default"/>
      <w:pgSz w:w="11907" w:h="16839"/>
      <w:pgMar w:top="1984" w:right="1446" w:bottom="1644" w:left="1446"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HorizontalSpacing w:val="120"/>
  <w:drawingGridVerticalSpacing w:val="163"/>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270E53"/>
    <w:rsid w:val="002B254B"/>
    <w:rsid w:val="003B6532"/>
    <w:rsid w:val="004A597F"/>
    <w:rsid w:val="00550ABE"/>
    <w:rsid w:val="00770383"/>
    <w:rsid w:val="007819D4"/>
    <w:rsid w:val="007B419D"/>
    <w:rsid w:val="00853209"/>
    <w:rsid w:val="009B67B8"/>
    <w:rsid w:val="009D2B67"/>
    <w:rsid w:val="00B03CCD"/>
    <w:rsid w:val="00B05EC2"/>
    <w:rsid w:val="00C20C3E"/>
    <w:rsid w:val="00F73F90"/>
    <w:rsid w:val="01474EBF"/>
    <w:rsid w:val="01F3521E"/>
    <w:rsid w:val="03B87EA0"/>
    <w:rsid w:val="03E3214F"/>
    <w:rsid w:val="044C50BA"/>
    <w:rsid w:val="055E6DF4"/>
    <w:rsid w:val="05BC6D49"/>
    <w:rsid w:val="06194FF1"/>
    <w:rsid w:val="068326DD"/>
    <w:rsid w:val="06A2550B"/>
    <w:rsid w:val="06F80EE2"/>
    <w:rsid w:val="07001CCA"/>
    <w:rsid w:val="071449E1"/>
    <w:rsid w:val="075678DB"/>
    <w:rsid w:val="079D7CC7"/>
    <w:rsid w:val="08051BCA"/>
    <w:rsid w:val="086C12F4"/>
    <w:rsid w:val="08705944"/>
    <w:rsid w:val="08BA052C"/>
    <w:rsid w:val="08DB07BA"/>
    <w:rsid w:val="0969353F"/>
    <w:rsid w:val="098305D0"/>
    <w:rsid w:val="0A3317EA"/>
    <w:rsid w:val="0A5C4B69"/>
    <w:rsid w:val="0A86124A"/>
    <w:rsid w:val="0AB54CC0"/>
    <w:rsid w:val="0B017043"/>
    <w:rsid w:val="0B9335CE"/>
    <w:rsid w:val="0B96240A"/>
    <w:rsid w:val="0BF2311A"/>
    <w:rsid w:val="0C7927C4"/>
    <w:rsid w:val="0C9B098C"/>
    <w:rsid w:val="0D673E11"/>
    <w:rsid w:val="0D674D12"/>
    <w:rsid w:val="0DDA54E4"/>
    <w:rsid w:val="0E3A5F83"/>
    <w:rsid w:val="0EE74408"/>
    <w:rsid w:val="0F836721"/>
    <w:rsid w:val="0FA25D96"/>
    <w:rsid w:val="0FD0094D"/>
    <w:rsid w:val="107B59E5"/>
    <w:rsid w:val="10EC0126"/>
    <w:rsid w:val="10F70B9A"/>
    <w:rsid w:val="111445C7"/>
    <w:rsid w:val="114278C6"/>
    <w:rsid w:val="1158083A"/>
    <w:rsid w:val="1159793B"/>
    <w:rsid w:val="115D1DC5"/>
    <w:rsid w:val="11643A4B"/>
    <w:rsid w:val="11ED0F98"/>
    <w:rsid w:val="11F03528"/>
    <w:rsid w:val="121A0510"/>
    <w:rsid w:val="12C921C4"/>
    <w:rsid w:val="13103880"/>
    <w:rsid w:val="13156C79"/>
    <w:rsid w:val="13871C70"/>
    <w:rsid w:val="13A71CB4"/>
    <w:rsid w:val="13AF1D43"/>
    <w:rsid w:val="13CE1647"/>
    <w:rsid w:val="13FD55AB"/>
    <w:rsid w:val="14200702"/>
    <w:rsid w:val="145342E4"/>
    <w:rsid w:val="163A6CEE"/>
    <w:rsid w:val="173708E3"/>
    <w:rsid w:val="17C374FC"/>
    <w:rsid w:val="182E4AB6"/>
    <w:rsid w:val="189079DC"/>
    <w:rsid w:val="189B0D0B"/>
    <w:rsid w:val="18B43F7C"/>
    <w:rsid w:val="194A1770"/>
    <w:rsid w:val="19B266EA"/>
    <w:rsid w:val="19B906A4"/>
    <w:rsid w:val="1A6B5E42"/>
    <w:rsid w:val="1B6F15B6"/>
    <w:rsid w:val="1BAA2EDC"/>
    <w:rsid w:val="1CA55E64"/>
    <w:rsid w:val="1CC677C6"/>
    <w:rsid w:val="1D014A01"/>
    <w:rsid w:val="1D022362"/>
    <w:rsid w:val="1D1B04B0"/>
    <w:rsid w:val="1DA52501"/>
    <w:rsid w:val="1DBD6767"/>
    <w:rsid w:val="1DC52125"/>
    <w:rsid w:val="1DD26311"/>
    <w:rsid w:val="1E374ACB"/>
    <w:rsid w:val="1ECF0A66"/>
    <w:rsid w:val="1ED244D1"/>
    <w:rsid w:val="1EEC0934"/>
    <w:rsid w:val="1EF67CA4"/>
    <w:rsid w:val="1F020D3A"/>
    <w:rsid w:val="1F1D1533"/>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653AC8"/>
    <w:rsid w:val="2A73162E"/>
    <w:rsid w:val="2B167953"/>
    <w:rsid w:val="2B200583"/>
    <w:rsid w:val="2B2922A2"/>
    <w:rsid w:val="2B8209DE"/>
    <w:rsid w:val="2B8A75DF"/>
    <w:rsid w:val="2C636760"/>
    <w:rsid w:val="2C6762A3"/>
    <w:rsid w:val="2D1E205E"/>
    <w:rsid w:val="2EAB60CF"/>
    <w:rsid w:val="2FCA4B37"/>
    <w:rsid w:val="2FE029D7"/>
    <w:rsid w:val="2FF06E00"/>
    <w:rsid w:val="30586FEC"/>
    <w:rsid w:val="315F0B22"/>
    <w:rsid w:val="31D652F1"/>
    <w:rsid w:val="31D84415"/>
    <w:rsid w:val="32285F6F"/>
    <w:rsid w:val="32770556"/>
    <w:rsid w:val="329C0913"/>
    <w:rsid w:val="32AA0460"/>
    <w:rsid w:val="3337290D"/>
    <w:rsid w:val="337E1BCD"/>
    <w:rsid w:val="33E31118"/>
    <w:rsid w:val="33EF7674"/>
    <w:rsid w:val="342D7BC6"/>
    <w:rsid w:val="352930DB"/>
    <w:rsid w:val="35573069"/>
    <w:rsid w:val="355F6038"/>
    <w:rsid w:val="358C217E"/>
    <w:rsid w:val="36C9128A"/>
    <w:rsid w:val="37841E99"/>
    <w:rsid w:val="37BF1123"/>
    <w:rsid w:val="37C67C0C"/>
    <w:rsid w:val="37D75B1F"/>
    <w:rsid w:val="37DA1B7A"/>
    <w:rsid w:val="383C3F15"/>
    <w:rsid w:val="38BE4696"/>
    <w:rsid w:val="3939115E"/>
    <w:rsid w:val="39B82A39"/>
    <w:rsid w:val="39C42CA8"/>
    <w:rsid w:val="39DC4FD6"/>
    <w:rsid w:val="39F03D7A"/>
    <w:rsid w:val="39F33306"/>
    <w:rsid w:val="3A2C1C67"/>
    <w:rsid w:val="3ADD7F09"/>
    <w:rsid w:val="3B1705E5"/>
    <w:rsid w:val="3B18334B"/>
    <w:rsid w:val="3B36794F"/>
    <w:rsid w:val="3B5F5131"/>
    <w:rsid w:val="3B6F6EE0"/>
    <w:rsid w:val="3C3E6327"/>
    <w:rsid w:val="3C566AD6"/>
    <w:rsid w:val="3C594871"/>
    <w:rsid w:val="3C6A5B02"/>
    <w:rsid w:val="3CFF8174"/>
    <w:rsid w:val="3D2757A1"/>
    <w:rsid w:val="3D3D4FC4"/>
    <w:rsid w:val="3DDF3AB1"/>
    <w:rsid w:val="3DEC032E"/>
    <w:rsid w:val="3E1D0952"/>
    <w:rsid w:val="3E42660A"/>
    <w:rsid w:val="3E7555B1"/>
    <w:rsid w:val="3E787ED9"/>
    <w:rsid w:val="3F032E93"/>
    <w:rsid w:val="3F0527E5"/>
    <w:rsid w:val="3F694D83"/>
    <w:rsid w:val="3F7B2517"/>
    <w:rsid w:val="3F885DCC"/>
    <w:rsid w:val="3FCD675E"/>
    <w:rsid w:val="4004000C"/>
    <w:rsid w:val="40BD5482"/>
    <w:rsid w:val="411B6CE5"/>
    <w:rsid w:val="412070D7"/>
    <w:rsid w:val="41314E40"/>
    <w:rsid w:val="41BA691D"/>
    <w:rsid w:val="41E0734B"/>
    <w:rsid w:val="421E2EA3"/>
    <w:rsid w:val="426C1EA8"/>
    <w:rsid w:val="42736402"/>
    <w:rsid w:val="428575F7"/>
    <w:rsid w:val="42E86A87"/>
    <w:rsid w:val="43307B09"/>
    <w:rsid w:val="439A3EB9"/>
    <w:rsid w:val="43BB152F"/>
    <w:rsid w:val="44C37687"/>
    <w:rsid w:val="45CB699A"/>
    <w:rsid w:val="465B470D"/>
    <w:rsid w:val="469D6AD4"/>
    <w:rsid w:val="471E6C84"/>
    <w:rsid w:val="4748792B"/>
    <w:rsid w:val="475D719D"/>
    <w:rsid w:val="47674801"/>
    <w:rsid w:val="47847D9D"/>
    <w:rsid w:val="48225EF7"/>
    <w:rsid w:val="488F422B"/>
    <w:rsid w:val="48E36915"/>
    <w:rsid w:val="48EB6572"/>
    <w:rsid w:val="495C4A24"/>
    <w:rsid w:val="497135DF"/>
    <w:rsid w:val="4A263DF2"/>
    <w:rsid w:val="4A6220FA"/>
    <w:rsid w:val="4A6F6675"/>
    <w:rsid w:val="4AB87932"/>
    <w:rsid w:val="4B135857"/>
    <w:rsid w:val="4B7951CB"/>
    <w:rsid w:val="4B7C315C"/>
    <w:rsid w:val="4DAC4ACA"/>
    <w:rsid w:val="4DBE01D2"/>
    <w:rsid w:val="4E506F12"/>
    <w:rsid w:val="4F0C6BA3"/>
    <w:rsid w:val="4F186D58"/>
    <w:rsid w:val="4F9F43C3"/>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BBA730E"/>
    <w:rsid w:val="5C263CE4"/>
    <w:rsid w:val="5C5D2777"/>
    <w:rsid w:val="5C5F7E2D"/>
    <w:rsid w:val="5CF66BF3"/>
    <w:rsid w:val="5D290C69"/>
    <w:rsid w:val="5F2D4A41"/>
    <w:rsid w:val="60250E4F"/>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0C6169"/>
    <w:rsid w:val="6EFD1324"/>
    <w:rsid w:val="6F5A53AC"/>
    <w:rsid w:val="6F6C0430"/>
    <w:rsid w:val="6FA32DA7"/>
    <w:rsid w:val="6FAC003D"/>
    <w:rsid w:val="6FE55E12"/>
    <w:rsid w:val="6FFB2E76"/>
    <w:rsid w:val="708F6F7F"/>
    <w:rsid w:val="70D94BD3"/>
    <w:rsid w:val="714816D3"/>
    <w:rsid w:val="71C34D91"/>
    <w:rsid w:val="72DB435C"/>
    <w:rsid w:val="72E2613A"/>
    <w:rsid w:val="72F771F4"/>
    <w:rsid w:val="73934AD2"/>
    <w:rsid w:val="743F5851"/>
    <w:rsid w:val="75053E40"/>
    <w:rsid w:val="750837F0"/>
    <w:rsid w:val="7516463E"/>
    <w:rsid w:val="754758CF"/>
    <w:rsid w:val="75BA64AB"/>
    <w:rsid w:val="7646068F"/>
    <w:rsid w:val="764F62AB"/>
    <w:rsid w:val="765C45EC"/>
    <w:rsid w:val="768A7619"/>
    <w:rsid w:val="772E1EBA"/>
    <w:rsid w:val="781926BC"/>
    <w:rsid w:val="796D60A4"/>
    <w:rsid w:val="79A031D5"/>
    <w:rsid w:val="7A1525F7"/>
    <w:rsid w:val="7B420052"/>
    <w:rsid w:val="7BD06A28"/>
    <w:rsid w:val="7BE06A5E"/>
    <w:rsid w:val="7C3A7C0B"/>
    <w:rsid w:val="7C4C51B5"/>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8506</Words>
  <Characters>11682</Characters>
  <Lines>193</Lines>
  <Paragraphs>54</Paragraphs>
  <TotalTime>8</TotalTime>
  <ScaleCrop>false</ScaleCrop>
  <LinksUpToDate>false</LinksUpToDate>
  <CharactersWithSpaces>13215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user</cp:lastModifiedBy>
  <cp:lastPrinted>2025-10-22T11:06:00Z</cp:lastPrinted>
  <dcterms:modified xsi:type="dcterms:W3CDTF">2025-11-06T15:10:41Z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0921ABDA0288461CB610A512C59DCDCF</vt:lpwstr>
  </property>
</Properties>
</file>