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700" w:lineRule="exact"/>
        <w:jc w:val="center"/>
        <w:textAlignment w:val="auto"/>
        <w:rPr>
          <w:rFonts w:hint="default" w:ascii="方正小标宋_GBK" w:hAnsi="方正小标宋_GBK" w:eastAsia="方正小标宋_GBK" w:cs="方正小标宋_GBK"/>
          <w:sz w:val="44"/>
          <w:szCs w:val="44"/>
          <w:shd w:val="clear" w:color="auto" w:fill="FFFFFF"/>
        </w:rPr>
      </w:pPr>
      <w:r>
        <w:rPr>
          <w:rFonts w:ascii="方正小标宋_GBK" w:hAnsi="方正小标宋_GBK" w:eastAsia="方正小标宋_GBK" w:cs="方正小标宋_GBK"/>
          <w:sz w:val="44"/>
          <w:szCs w:val="44"/>
        </w:rPr>
        <w:t>重庆市涪陵区人民政府荔枝街道</w:t>
      </w:r>
      <w:r>
        <w:rPr>
          <w:rFonts w:hint="eastAsia" w:ascii="方正小标宋_GBK" w:hAnsi="方正小标宋_GBK" w:eastAsia="方正小标宋_GBK" w:cs="方正小标宋_GBK"/>
          <w:sz w:val="44"/>
          <w:szCs w:val="44"/>
          <w:lang w:eastAsia="zh-CN"/>
        </w:rPr>
        <w:t>综合行政执法大队</w:t>
      </w:r>
      <w:r>
        <w:rPr>
          <w:rFonts w:hint="eastAsia" w:ascii="方正小标宋_GBK" w:hAnsi="方正小标宋_GBK" w:eastAsia="方正小标宋_GBK" w:cs="方正小标宋_GBK"/>
          <w:sz w:val="44"/>
          <w:szCs w:val="44"/>
          <w:lang w:val="en-US" w:eastAsia="zh-CN"/>
        </w:rPr>
        <w:t>2</w:t>
      </w:r>
      <w:r>
        <w:rPr>
          <w:rFonts w:ascii="方正小标宋_GBK" w:hAnsi="方正小标宋_GBK" w:eastAsia="方正小标宋_GBK" w:cs="方正小标宋_GBK"/>
          <w:sz w:val="44"/>
          <w:szCs w:val="44"/>
          <w:shd w:val="clear" w:color="auto" w:fill="FFFFFF"/>
        </w:rPr>
        <w:t>02</w:t>
      </w:r>
      <w:r>
        <w:rPr>
          <w:rFonts w:hint="eastAsia" w:ascii="方正小标宋_GBK" w:hAnsi="方正小标宋_GBK" w:eastAsia="方正小标宋_GBK" w:cs="方正小标宋_GBK"/>
          <w:sz w:val="44"/>
          <w:szCs w:val="44"/>
          <w:shd w:val="clear" w:color="auto" w:fill="FFFFFF"/>
          <w:lang w:val="en-US" w:eastAsia="zh-CN"/>
        </w:rPr>
        <w:t>4</w:t>
      </w:r>
      <w:r>
        <w:rPr>
          <w:rFonts w:ascii="方正小标宋_GBK" w:hAnsi="方正小标宋_GBK" w:eastAsia="方正小标宋_GBK" w:cs="方正小标宋_GBK"/>
          <w:sz w:val="44"/>
          <w:szCs w:val="44"/>
          <w:shd w:val="clear" w:color="auto" w:fill="FFFFFF"/>
        </w:rPr>
        <w:t>年度决算公开说明</w:t>
      </w:r>
    </w:p>
    <w:p>
      <w:pPr>
        <w:pStyle w:val="6"/>
        <w:keepNext w:val="0"/>
        <w:keepLines w:val="0"/>
        <w:pageBreakBefore w:val="0"/>
        <w:shd w:val="clear" w:color="auto" w:fill="FFFFFF"/>
        <w:kinsoku/>
        <w:wordWrap/>
        <w:overflowPunct/>
        <w:topLinePunct w:val="0"/>
        <w:autoSpaceDN/>
        <w:bidi w:val="0"/>
        <w:adjustRightInd/>
        <w:snapToGrid/>
        <w:spacing w:before="0" w:beforeAutospacing="0" w:after="0" w:afterAutospacing="0" w:line="600" w:lineRule="exact"/>
        <w:textAlignment w:val="auto"/>
        <w:rPr>
          <w:rStyle w:val="10"/>
          <w:rFonts w:ascii="黑体" w:hAnsi="黑体" w:eastAsia="黑体" w:cs="黑体"/>
          <w:b w:val="0"/>
          <w:bCs/>
          <w:sz w:val="32"/>
          <w:szCs w:val="32"/>
          <w:shd w:val="clear" w:color="auto" w:fill="FFFFFF"/>
        </w:rPr>
      </w:pPr>
    </w:p>
    <w:p>
      <w:pPr>
        <w:pStyle w:val="6"/>
        <w:keepNext w:val="0"/>
        <w:keepLines w:val="0"/>
        <w:pageBreakBefore w:val="0"/>
        <w:shd w:val="clear" w:color="auto" w:fill="FFFFFF"/>
        <w:kinsoku/>
        <w:wordWrap/>
        <w:overflowPunct/>
        <w:topLinePunct w:val="0"/>
        <w:autoSpaceDN/>
        <w:bidi w:val="0"/>
        <w:adjustRightInd/>
        <w:snapToGrid/>
        <w:spacing w:before="0" w:beforeAutospacing="0" w:after="0" w:afterAutospacing="0" w:line="600" w:lineRule="exact"/>
        <w:ind w:firstLine="640" w:firstLineChars="200"/>
        <w:textAlignment w:val="auto"/>
        <w:rPr>
          <w:rFonts w:hint="default" w:ascii="黑体" w:hAnsi="黑体" w:eastAsia="黑体" w:cs="黑体"/>
          <w:b w:val="0"/>
          <w:bCs/>
          <w:sz w:val="32"/>
          <w:szCs w:val="32"/>
        </w:rPr>
      </w:pPr>
      <w:r>
        <w:rPr>
          <w:rStyle w:val="10"/>
          <w:rFonts w:ascii="黑体" w:hAnsi="黑体" w:eastAsia="黑体" w:cs="黑体"/>
          <w:b w:val="0"/>
          <w:bCs/>
          <w:sz w:val="32"/>
          <w:szCs w:val="32"/>
          <w:shd w:val="clear" w:color="auto" w:fill="FFFFFF"/>
        </w:rPr>
        <w:t>一、单位基本情况</w:t>
      </w:r>
    </w:p>
    <w:p>
      <w:pPr>
        <w:pStyle w:val="6"/>
        <w:keepNext w:val="0"/>
        <w:keepLines w:val="0"/>
        <w:pageBreakBefore w:val="0"/>
        <w:shd w:val="clear" w:color="auto" w:fill="FFFFFF"/>
        <w:kinsoku/>
        <w:wordWrap/>
        <w:overflowPunct/>
        <w:topLinePunct w:val="0"/>
        <w:autoSpaceDN/>
        <w:bidi w:val="0"/>
        <w:adjustRightInd/>
        <w:snapToGrid/>
        <w:spacing w:before="0" w:beforeAutospacing="0" w:after="0" w:afterAutospacing="0" w:line="600" w:lineRule="exact"/>
        <w:ind w:firstLine="640" w:firstLineChars="200"/>
        <w:textAlignment w:val="auto"/>
        <w:rPr>
          <w:rFonts w:hint="default" w:ascii="方正仿宋_GBK" w:hAnsi="方正仿宋_GBK" w:eastAsia="方正仿宋_GBK" w:cs="方正仿宋_GBK"/>
          <w:b w:val="0"/>
          <w:bCs/>
          <w:sz w:val="32"/>
          <w:szCs w:val="32"/>
        </w:rPr>
      </w:pPr>
      <w:r>
        <w:rPr>
          <w:rStyle w:val="10"/>
          <w:rFonts w:ascii="楷体" w:hAnsi="楷体" w:eastAsia="楷体" w:cs="楷体"/>
          <w:b w:val="0"/>
          <w:bCs/>
          <w:sz w:val="32"/>
          <w:szCs w:val="32"/>
          <w:shd w:val="clear" w:color="auto" w:fill="FFFFFF"/>
        </w:rPr>
        <w:t>（一）职能职责</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方正仿宋_GBK" w:hAnsi="方正仿宋_GBK" w:eastAsia="方正仿宋_GBK" w:cs="方正仿宋_GBK"/>
          <w:b w:val="0"/>
          <w:bCs/>
          <w:sz w:val="32"/>
          <w:szCs w:val="32"/>
          <w:highlight w:val="none"/>
          <w:lang w:eastAsia="zh-CN"/>
        </w:rPr>
      </w:pPr>
      <w:r>
        <w:rPr>
          <w:rFonts w:hint="eastAsia" w:ascii="方正仿宋_GBK" w:hAnsi="方正仿宋_GBK" w:eastAsia="方正仿宋_GBK" w:cs="方正仿宋_GBK"/>
          <w:b w:val="0"/>
          <w:bCs/>
          <w:sz w:val="32"/>
          <w:szCs w:val="32"/>
          <w:highlight w:val="none"/>
        </w:rPr>
        <w:t>1.</w:t>
      </w:r>
      <w:r>
        <w:rPr>
          <w:rFonts w:hint="eastAsia" w:ascii="方正仿宋_GBK" w:hAnsi="方正仿宋_GBK" w:eastAsia="方正仿宋_GBK" w:cs="方正仿宋_GBK"/>
          <w:b w:val="0"/>
          <w:bCs/>
          <w:sz w:val="32"/>
          <w:szCs w:val="32"/>
          <w:highlight w:val="none"/>
          <w:lang w:eastAsia="zh-CN"/>
        </w:rPr>
        <w:t>综合执法岗主要负责综合行政执法、违法建筑巡查、制止、拆除等工作。</w:t>
      </w:r>
    </w:p>
    <w:p>
      <w:pPr>
        <w:pStyle w:val="6"/>
        <w:keepNext w:val="0"/>
        <w:keepLines w:val="0"/>
        <w:pageBreakBefore w:val="0"/>
        <w:shd w:val="clear" w:color="auto" w:fill="FFFFFF"/>
        <w:kinsoku/>
        <w:wordWrap/>
        <w:overflowPunct/>
        <w:topLinePunct w:val="0"/>
        <w:autoSpaceDN/>
        <w:bidi w:val="0"/>
        <w:adjustRightInd/>
        <w:snapToGrid/>
        <w:spacing w:before="0" w:beforeAutospacing="0" w:after="0" w:afterAutospacing="0" w:line="600" w:lineRule="exact"/>
        <w:ind w:firstLine="640" w:firstLineChars="200"/>
        <w:textAlignment w:val="auto"/>
        <w:rPr>
          <w:rFonts w:hint="default" w:ascii="楷体" w:hAnsi="楷体" w:eastAsia="楷体" w:cs="楷体"/>
          <w:b w:val="0"/>
          <w:bCs/>
          <w:sz w:val="32"/>
          <w:szCs w:val="32"/>
        </w:rPr>
      </w:pPr>
      <w:r>
        <w:rPr>
          <w:rStyle w:val="10"/>
          <w:rFonts w:ascii="楷体" w:hAnsi="楷体" w:eastAsia="楷体" w:cs="楷体"/>
          <w:b w:val="0"/>
          <w:bCs/>
          <w:sz w:val="32"/>
          <w:szCs w:val="32"/>
          <w:shd w:val="clear" w:color="auto" w:fill="FFFFFF"/>
        </w:rPr>
        <w:t>（二）机构设置</w:t>
      </w:r>
    </w:p>
    <w:p>
      <w:pPr>
        <w:pStyle w:val="6"/>
        <w:keepNext w:val="0"/>
        <w:keepLines w:val="0"/>
        <w:pageBreakBefore w:val="0"/>
        <w:shd w:val="clear" w:color="auto" w:fill="FFFFFF"/>
        <w:kinsoku/>
        <w:wordWrap/>
        <w:overflowPunct/>
        <w:topLinePunct w:val="0"/>
        <w:autoSpaceDN/>
        <w:bidi w:val="0"/>
        <w:adjustRightInd/>
        <w:snapToGrid/>
        <w:spacing w:before="0" w:beforeAutospacing="0" w:after="0" w:afterAutospacing="0" w:line="600" w:lineRule="exact"/>
        <w:ind w:firstLine="640" w:firstLineChars="200"/>
        <w:textAlignment w:val="auto"/>
        <w:rPr>
          <w:rFonts w:hint="eastAsia" w:ascii="方正仿宋_GBK" w:hAnsi="方正仿宋_GBK" w:eastAsia="方正仿宋_GBK" w:cs="方正仿宋_GBK"/>
          <w:b w:val="0"/>
          <w:bCs/>
          <w:sz w:val="32"/>
          <w:szCs w:val="32"/>
          <w:highlight w:val="none"/>
          <w:lang w:eastAsia="zh-CN"/>
        </w:rPr>
      </w:pPr>
      <w:r>
        <w:rPr>
          <w:rFonts w:hint="eastAsia" w:ascii="方正仿宋_GBK" w:hAnsi="方正仿宋_GBK" w:eastAsia="方正仿宋_GBK" w:cs="方正仿宋_GBK"/>
          <w:b w:val="0"/>
          <w:bCs/>
          <w:sz w:val="32"/>
          <w:szCs w:val="32"/>
          <w:highlight w:val="none"/>
          <w:lang w:eastAsia="zh-CN"/>
        </w:rPr>
        <w:t>综合执法岗。</w:t>
      </w:r>
    </w:p>
    <w:p>
      <w:pPr>
        <w:pStyle w:val="6"/>
        <w:keepNext w:val="0"/>
        <w:keepLines w:val="0"/>
        <w:pageBreakBefore w:val="0"/>
        <w:shd w:val="clear" w:color="auto" w:fill="FFFFFF"/>
        <w:kinsoku/>
        <w:wordWrap/>
        <w:overflowPunct/>
        <w:topLinePunct w:val="0"/>
        <w:autoSpaceDN/>
        <w:bidi w:val="0"/>
        <w:adjustRightInd/>
        <w:snapToGrid/>
        <w:spacing w:before="0" w:beforeAutospacing="0" w:after="0" w:afterAutospacing="0" w:line="600" w:lineRule="exact"/>
        <w:ind w:firstLine="640" w:firstLineChars="200"/>
        <w:textAlignment w:val="auto"/>
        <w:rPr>
          <w:rFonts w:hint="default" w:ascii="方正仿宋_GBK" w:hAnsi="方正仿宋_GBK" w:eastAsia="方正仿宋_GBK" w:cs="方正仿宋_GBK"/>
          <w:b w:val="0"/>
          <w:bCs/>
          <w:sz w:val="32"/>
          <w:szCs w:val="32"/>
        </w:rPr>
      </w:pPr>
      <w:r>
        <w:rPr>
          <w:rStyle w:val="10"/>
          <w:rFonts w:ascii="黑体" w:hAnsi="黑体" w:eastAsia="黑体" w:cs="黑体"/>
          <w:b w:val="0"/>
          <w:bCs/>
          <w:sz w:val="32"/>
          <w:szCs w:val="32"/>
          <w:shd w:val="clear" w:color="auto" w:fill="FFFFFF"/>
        </w:rPr>
        <w:t>二、单位决算情况说明</w:t>
      </w:r>
    </w:p>
    <w:p>
      <w:pPr>
        <w:pStyle w:val="11"/>
        <w:keepNext w:val="0"/>
        <w:keepLines w:val="0"/>
        <w:pageBreakBefore w:val="0"/>
        <w:kinsoku/>
        <w:wordWrap/>
        <w:overflowPunct/>
        <w:topLinePunct w:val="0"/>
        <w:autoSpaceDE w:val="0"/>
        <w:autoSpaceDN/>
        <w:bidi w:val="0"/>
        <w:adjustRightInd/>
        <w:snapToGrid/>
        <w:spacing w:beforeAutospacing="0" w:afterAutospacing="0" w:line="600" w:lineRule="exact"/>
        <w:ind w:firstLine="643"/>
        <w:textAlignment w:val="auto"/>
        <w:rPr>
          <w:rFonts w:ascii="楷体" w:hAnsi="楷体" w:eastAsia="楷体" w:cs="楷体"/>
          <w:b w:val="0"/>
          <w:bCs/>
          <w:sz w:val="32"/>
          <w:szCs w:val="32"/>
          <w:shd w:val="clear" w:color="auto" w:fill="FFFFFF"/>
        </w:rPr>
      </w:pPr>
      <w:r>
        <w:rPr>
          <w:rFonts w:hint="eastAsia" w:ascii="楷体" w:hAnsi="楷体" w:eastAsia="楷体" w:cs="楷体"/>
          <w:b w:val="0"/>
          <w:bCs/>
          <w:sz w:val="32"/>
          <w:szCs w:val="32"/>
          <w:shd w:val="clear" w:color="auto" w:fill="FFFFFF"/>
        </w:rPr>
        <w:t>（一）收入支出决算总体情况说明。</w:t>
      </w:r>
    </w:p>
    <w:p>
      <w:pPr>
        <w:pStyle w:val="6"/>
        <w:keepNext w:val="0"/>
        <w:keepLines w:val="0"/>
        <w:pageBreakBefore w:val="0"/>
        <w:shd w:val="clear" w:color="auto" w:fill="FFFFFF"/>
        <w:kinsoku/>
        <w:wordWrap/>
        <w:overflowPunct/>
        <w:topLinePunct w:val="0"/>
        <w:autoSpaceDN/>
        <w:bidi w:val="0"/>
        <w:adjustRightInd/>
        <w:snapToGrid/>
        <w:spacing w:before="0" w:beforeAutospacing="0" w:after="0" w:afterAutospacing="0" w:line="600" w:lineRule="exact"/>
        <w:ind w:firstLine="640" w:firstLineChars="200"/>
        <w:textAlignment w:val="auto"/>
        <w:rPr>
          <w:rFonts w:hint="default" w:ascii="方正仿宋_GBK" w:hAnsi="方正仿宋_GBK" w:eastAsia="方正仿宋_GBK" w:cs="方正仿宋_GBK"/>
          <w:b w:val="0"/>
          <w:bCs/>
          <w:sz w:val="32"/>
          <w:szCs w:val="32"/>
          <w:shd w:val="clear" w:color="auto" w:fill="FFFFFF"/>
        </w:rPr>
      </w:pPr>
      <w:r>
        <w:rPr>
          <w:rStyle w:val="10"/>
          <w:rFonts w:ascii="方正仿宋_GBK" w:hAnsi="方正仿宋_GBK" w:eastAsia="方正仿宋_GBK" w:cs="方正仿宋_GBK"/>
          <w:b w:val="0"/>
          <w:bCs/>
          <w:sz w:val="32"/>
          <w:szCs w:val="32"/>
          <w:shd w:val="clear" w:color="auto" w:fill="FFFFFF"/>
        </w:rPr>
        <w:t>1.总体情况。</w:t>
      </w:r>
      <w:r>
        <w:rPr>
          <w:rFonts w:ascii="方正仿宋_GBK" w:hAnsi="方正仿宋_GBK" w:eastAsia="方正仿宋_GBK" w:cs="方正仿宋_GBK"/>
          <w:b w:val="0"/>
          <w:bCs/>
          <w:sz w:val="32"/>
          <w:szCs w:val="32"/>
          <w:shd w:val="clear" w:color="auto" w:fill="FFFFFF"/>
        </w:rPr>
        <w:t>202</w:t>
      </w:r>
      <w:r>
        <w:rPr>
          <w:rFonts w:hint="eastAsia" w:ascii="方正仿宋_GBK" w:hAnsi="方正仿宋_GBK" w:eastAsia="方正仿宋_GBK" w:cs="方正仿宋_GBK"/>
          <w:b w:val="0"/>
          <w:bCs/>
          <w:sz w:val="32"/>
          <w:szCs w:val="32"/>
          <w:shd w:val="clear" w:color="auto" w:fill="FFFFFF"/>
          <w:lang w:val="en-US" w:eastAsia="zh-CN"/>
        </w:rPr>
        <w:t>4</w:t>
      </w:r>
      <w:r>
        <w:rPr>
          <w:rFonts w:ascii="方正仿宋_GBK" w:hAnsi="方正仿宋_GBK" w:eastAsia="方正仿宋_GBK" w:cs="方正仿宋_GBK"/>
          <w:b w:val="0"/>
          <w:bCs/>
          <w:sz w:val="32"/>
          <w:szCs w:val="32"/>
          <w:shd w:val="clear" w:color="auto" w:fill="FFFFFF"/>
        </w:rPr>
        <w:t>年度收入总计</w:t>
      </w:r>
      <w:r>
        <w:rPr>
          <w:rFonts w:hint="eastAsia" w:ascii="方正仿宋_GBK" w:hAnsi="方正仿宋_GBK" w:eastAsia="方正仿宋_GBK" w:cs="方正仿宋_GBK"/>
          <w:b w:val="0"/>
          <w:bCs/>
          <w:sz w:val="32"/>
          <w:szCs w:val="32"/>
          <w:shd w:val="clear" w:color="auto" w:fill="FFFFFF"/>
          <w:lang w:val="en-US" w:eastAsia="zh-CN"/>
        </w:rPr>
        <w:t>198.01</w:t>
      </w:r>
      <w:r>
        <w:rPr>
          <w:rFonts w:ascii="方正仿宋_GBK" w:hAnsi="方正仿宋_GBK" w:eastAsia="方正仿宋_GBK" w:cs="方正仿宋_GBK"/>
          <w:b w:val="0"/>
          <w:bCs/>
          <w:sz w:val="32"/>
          <w:szCs w:val="32"/>
          <w:shd w:val="clear" w:color="auto" w:fill="FFFFFF"/>
        </w:rPr>
        <w:t>万元，支出总计</w:t>
      </w:r>
      <w:r>
        <w:rPr>
          <w:rFonts w:hint="eastAsia" w:ascii="方正仿宋_GBK" w:hAnsi="方正仿宋_GBK" w:eastAsia="方正仿宋_GBK" w:cs="方正仿宋_GBK"/>
          <w:b w:val="0"/>
          <w:bCs/>
          <w:sz w:val="32"/>
          <w:szCs w:val="32"/>
          <w:shd w:val="clear" w:color="auto" w:fill="FFFFFF"/>
          <w:lang w:val="en-US" w:eastAsia="zh-CN"/>
        </w:rPr>
        <w:t>198.01</w:t>
      </w:r>
      <w:r>
        <w:rPr>
          <w:rFonts w:ascii="方正仿宋_GBK" w:hAnsi="方正仿宋_GBK" w:eastAsia="方正仿宋_GBK" w:cs="方正仿宋_GBK"/>
          <w:b w:val="0"/>
          <w:bCs/>
          <w:sz w:val="32"/>
          <w:szCs w:val="32"/>
          <w:shd w:val="clear" w:color="auto" w:fill="FFFFFF"/>
        </w:rPr>
        <w:t>元。收支较上年决算数</w:t>
      </w:r>
      <w:r>
        <w:rPr>
          <w:rFonts w:hint="eastAsia" w:ascii="方正仿宋_GBK" w:hAnsi="方正仿宋_GBK" w:eastAsia="方正仿宋_GBK" w:cs="方正仿宋_GBK"/>
          <w:b w:val="0"/>
          <w:bCs/>
          <w:sz w:val="32"/>
          <w:szCs w:val="32"/>
          <w:shd w:val="clear" w:color="auto" w:fill="FFFFFF"/>
          <w:lang w:eastAsia="zh-CN"/>
        </w:rPr>
        <w:t>增加</w:t>
      </w:r>
      <w:r>
        <w:rPr>
          <w:rFonts w:hint="eastAsia" w:ascii="方正仿宋_GBK" w:hAnsi="方正仿宋_GBK" w:eastAsia="方正仿宋_GBK" w:cs="方正仿宋_GBK"/>
          <w:b w:val="0"/>
          <w:bCs/>
          <w:sz w:val="32"/>
          <w:szCs w:val="32"/>
          <w:shd w:val="clear" w:color="auto" w:fill="FFFFFF"/>
          <w:lang w:val="en-US" w:eastAsia="zh-CN"/>
        </w:rPr>
        <w:t>10.06万元，</w:t>
      </w:r>
      <w:r>
        <w:rPr>
          <w:rFonts w:hint="eastAsia" w:ascii="方正仿宋_GBK" w:hAnsi="方正仿宋_GBK" w:eastAsia="方正仿宋_GBK" w:cs="方正仿宋_GBK"/>
          <w:b w:val="0"/>
          <w:bCs/>
          <w:sz w:val="32"/>
          <w:szCs w:val="32"/>
          <w:shd w:val="clear" w:color="auto" w:fill="FFFFFF"/>
          <w:lang w:eastAsia="zh-CN"/>
        </w:rPr>
        <w:t>增加</w:t>
      </w:r>
      <w:r>
        <w:rPr>
          <w:rFonts w:hint="eastAsia" w:ascii="方正仿宋_GBK" w:hAnsi="方正仿宋_GBK" w:eastAsia="方正仿宋_GBK" w:cs="方正仿宋_GBK"/>
          <w:b w:val="0"/>
          <w:bCs/>
          <w:sz w:val="32"/>
          <w:szCs w:val="32"/>
          <w:shd w:val="clear" w:color="auto" w:fill="FFFFFF"/>
          <w:lang w:val="en-US" w:eastAsia="zh-CN"/>
        </w:rPr>
        <w:t>5.08</w:t>
      </w:r>
      <w:r>
        <w:rPr>
          <w:rFonts w:ascii="方正仿宋_GBK" w:hAnsi="方正仿宋_GBK" w:eastAsia="方正仿宋_GBK" w:cs="方正仿宋_GBK"/>
          <w:b w:val="0"/>
          <w:bCs/>
          <w:sz w:val="32"/>
          <w:szCs w:val="32"/>
          <w:shd w:val="clear" w:color="auto" w:fill="FFFFFF"/>
        </w:rPr>
        <w:t>%，主要原因是</w:t>
      </w:r>
      <w:r>
        <w:rPr>
          <w:rFonts w:hint="eastAsia" w:ascii="方正仿宋_GBK" w:hAnsi="方正仿宋_GBK" w:eastAsia="方正仿宋_GBK" w:cs="方正仿宋_GBK"/>
          <w:b w:val="0"/>
          <w:bCs/>
          <w:sz w:val="32"/>
          <w:szCs w:val="32"/>
          <w:shd w:val="clear" w:color="auto" w:fill="FFFFFF"/>
          <w:lang w:eastAsia="zh-CN"/>
        </w:rPr>
        <w:t>人员社保、医疗保险费用增长</w:t>
      </w:r>
      <w:r>
        <w:rPr>
          <w:rFonts w:ascii="方正仿宋_GBK" w:hAnsi="方正仿宋_GBK" w:eastAsia="方正仿宋_GBK" w:cs="方正仿宋_GBK"/>
          <w:b w:val="0"/>
          <w:bCs/>
          <w:sz w:val="32"/>
          <w:szCs w:val="32"/>
          <w:shd w:val="clear" w:color="auto" w:fill="FFFFFF"/>
        </w:rPr>
        <w:t>。</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sz w:val="32"/>
          <w:szCs w:val="32"/>
          <w:shd w:val="clear" w:color="auto" w:fill="FFFFFF"/>
        </w:rPr>
      </w:pPr>
      <w:r>
        <w:rPr>
          <w:rStyle w:val="10"/>
          <w:rFonts w:ascii="方正仿宋_GBK" w:hAnsi="方正仿宋_GBK" w:eastAsia="方正仿宋_GBK" w:cs="方正仿宋_GBK"/>
          <w:b w:val="0"/>
          <w:bCs/>
          <w:sz w:val="32"/>
          <w:szCs w:val="32"/>
          <w:shd w:val="clear" w:color="auto" w:fill="FFFFFF"/>
        </w:rPr>
        <w:t>2.收入情况。</w:t>
      </w:r>
      <w:r>
        <w:rPr>
          <w:rFonts w:ascii="方正仿宋_GBK" w:hAnsi="方正仿宋_GBK" w:eastAsia="方正仿宋_GBK" w:cs="方正仿宋_GBK"/>
          <w:b w:val="0"/>
          <w:bCs/>
          <w:sz w:val="32"/>
          <w:szCs w:val="32"/>
          <w:shd w:val="clear" w:color="auto" w:fill="FFFFFF"/>
        </w:rPr>
        <w:t>202</w:t>
      </w:r>
      <w:r>
        <w:rPr>
          <w:rFonts w:hint="eastAsia" w:ascii="方正仿宋_GBK" w:hAnsi="方正仿宋_GBK" w:eastAsia="方正仿宋_GBK" w:cs="方正仿宋_GBK"/>
          <w:b w:val="0"/>
          <w:bCs/>
          <w:sz w:val="32"/>
          <w:szCs w:val="32"/>
          <w:shd w:val="clear" w:color="auto" w:fill="FFFFFF"/>
          <w:lang w:val="en-US" w:eastAsia="zh-CN"/>
        </w:rPr>
        <w:t>4</w:t>
      </w:r>
      <w:r>
        <w:rPr>
          <w:rFonts w:ascii="方正仿宋_GBK" w:hAnsi="方正仿宋_GBK" w:eastAsia="方正仿宋_GBK" w:cs="方正仿宋_GBK"/>
          <w:b w:val="0"/>
          <w:bCs/>
          <w:sz w:val="32"/>
          <w:szCs w:val="32"/>
          <w:shd w:val="clear" w:color="auto" w:fill="FFFFFF"/>
        </w:rPr>
        <w:t>年度收入合计</w:t>
      </w:r>
      <w:r>
        <w:rPr>
          <w:rFonts w:hint="eastAsia" w:ascii="方正仿宋_GBK" w:hAnsi="方正仿宋_GBK" w:eastAsia="方正仿宋_GBK" w:cs="方正仿宋_GBK"/>
          <w:b w:val="0"/>
          <w:bCs/>
          <w:sz w:val="32"/>
          <w:szCs w:val="32"/>
          <w:shd w:val="clear" w:color="auto" w:fill="FFFFFF"/>
          <w:lang w:val="en-US" w:eastAsia="zh-CN"/>
        </w:rPr>
        <w:t>198.01</w:t>
      </w:r>
      <w:r>
        <w:rPr>
          <w:rFonts w:ascii="方正仿宋_GBK" w:hAnsi="方正仿宋_GBK" w:eastAsia="方正仿宋_GBK" w:cs="方正仿宋_GBK"/>
          <w:b w:val="0"/>
          <w:bCs/>
          <w:sz w:val="32"/>
          <w:szCs w:val="32"/>
          <w:shd w:val="clear" w:color="auto" w:fill="FFFFFF"/>
        </w:rPr>
        <w:t>万元，较上年决算数</w:t>
      </w:r>
      <w:r>
        <w:rPr>
          <w:rFonts w:hint="eastAsia" w:ascii="方正仿宋_GBK" w:hAnsi="方正仿宋_GBK" w:eastAsia="方正仿宋_GBK" w:cs="方正仿宋_GBK"/>
          <w:b w:val="0"/>
          <w:bCs/>
          <w:sz w:val="32"/>
          <w:szCs w:val="32"/>
          <w:shd w:val="clear" w:color="auto" w:fill="FFFFFF"/>
          <w:lang w:eastAsia="zh-CN"/>
        </w:rPr>
        <w:t>增加</w:t>
      </w:r>
      <w:r>
        <w:rPr>
          <w:rFonts w:hint="eastAsia" w:ascii="方正仿宋_GBK" w:hAnsi="方正仿宋_GBK" w:eastAsia="方正仿宋_GBK" w:cs="方正仿宋_GBK"/>
          <w:b w:val="0"/>
          <w:bCs/>
          <w:sz w:val="32"/>
          <w:szCs w:val="32"/>
          <w:shd w:val="clear" w:color="auto" w:fill="FFFFFF"/>
          <w:lang w:val="en-US" w:eastAsia="zh-CN"/>
        </w:rPr>
        <w:t>10.06</w:t>
      </w:r>
      <w:r>
        <w:rPr>
          <w:rFonts w:ascii="方正仿宋_GBK" w:hAnsi="方正仿宋_GBK" w:eastAsia="方正仿宋_GBK" w:cs="方正仿宋_GBK"/>
          <w:b w:val="0"/>
          <w:bCs/>
          <w:sz w:val="32"/>
          <w:szCs w:val="32"/>
          <w:shd w:val="clear" w:color="auto" w:fill="FFFFFF"/>
        </w:rPr>
        <w:t>万元，</w:t>
      </w:r>
      <w:r>
        <w:rPr>
          <w:rFonts w:hint="eastAsia" w:ascii="方正仿宋_GBK" w:hAnsi="方正仿宋_GBK" w:eastAsia="方正仿宋_GBK" w:cs="方正仿宋_GBK"/>
          <w:b w:val="0"/>
          <w:bCs/>
          <w:sz w:val="32"/>
          <w:szCs w:val="32"/>
          <w:shd w:val="clear" w:color="auto" w:fill="FFFFFF"/>
          <w:lang w:eastAsia="zh-CN"/>
        </w:rPr>
        <w:t>增加</w:t>
      </w:r>
      <w:r>
        <w:rPr>
          <w:rFonts w:hint="eastAsia" w:ascii="方正仿宋_GBK" w:hAnsi="方正仿宋_GBK" w:eastAsia="方正仿宋_GBK" w:cs="方正仿宋_GBK"/>
          <w:b w:val="0"/>
          <w:bCs/>
          <w:sz w:val="32"/>
          <w:szCs w:val="32"/>
          <w:shd w:val="clear" w:color="auto" w:fill="FFFFFF"/>
          <w:lang w:val="en-US" w:eastAsia="zh-CN"/>
        </w:rPr>
        <w:t>5.08</w:t>
      </w:r>
      <w:r>
        <w:rPr>
          <w:rFonts w:ascii="方正仿宋_GBK" w:hAnsi="方正仿宋_GBK" w:eastAsia="方正仿宋_GBK" w:cs="方正仿宋_GBK"/>
          <w:b w:val="0"/>
          <w:bCs/>
          <w:sz w:val="32"/>
          <w:szCs w:val="32"/>
          <w:shd w:val="clear" w:color="auto" w:fill="FFFFFF"/>
        </w:rPr>
        <w:t>%，</w:t>
      </w:r>
      <w:r>
        <w:rPr>
          <w:rFonts w:hint="eastAsia" w:ascii="方正仿宋_GBK" w:hAnsi="方正仿宋_GBK" w:eastAsia="方正仿宋_GBK" w:cs="方正仿宋_GBK"/>
          <w:b w:val="0"/>
          <w:bCs/>
          <w:sz w:val="32"/>
          <w:szCs w:val="32"/>
          <w:shd w:val="clear" w:color="auto" w:fill="FFFFFF"/>
          <w:lang w:eastAsia="zh-CN"/>
        </w:rPr>
        <w:t>主要原因是部门财力增加</w:t>
      </w:r>
      <w:r>
        <w:rPr>
          <w:rFonts w:ascii="方正仿宋_GBK" w:hAnsi="方正仿宋_GBK" w:eastAsia="方正仿宋_GBK" w:cs="方正仿宋_GBK"/>
          <w:b w:val="0"/>
          <w:bCs/>
          <w:sz w:val="32"/>
          <w:szCs w:val="32"/>
          <w:shd w:val="clear" w:color="auto" w:fill="FFFFFF"/>
        </w:rPr>
        <w:t>。其中：财政拨款收入</w:t>
      </w:r>
      <w:r>
        <w:rPr>
          <w:rFonts w:hint="eastAsia" w:ascii="方正仿宋_GBK" w:hAnsi="方正仿宋_GBK" w:eastAsia="方正仿宋_GBK" w:cs="方正仿宋_GBK"/>
          <w:b w:val="0"/>
          <w:bCs/>
          <w:sz w:val="32"/>
          <w:szCs w:val="32"/>
          <w:shd w:val="clear" w:color="auto" w:fill="FFFFFF"/>
          <w:lang w:val="en-US" w:eastAsia="zh-CN"/>
        </w:rPr>
        <w:t>198.01</w:t>
      </w:r>
      <w:r>
        <w:rPr>
          <w:rFonts w:ascii="方正仿宋_GBK" w:hAnsi="方正仿宋_GBK" w:eastAsia="方正仿宋_GBK" w:cs="方正仿宋_GBK"/>
          <w:b w:val="0"/>
          <w:bCs/>
          <w:sz w:val="32"/>
          <w:szCs w:val="32"/>
          <w:shd w:val="clear" w:color="auto" w:fill="FFFFFF"/>
        </w:rPr>
        <w:t>万元，占</w:t>
      </w:r>
      <w:r>
        <w:rPr>
          <w:rFonts w:hint="eastAsia" w:ascii="方正仿宋_GBK" w:hAnsi="方正仿宋_GBK" w:eastAsia="方正仿宋_GBK" w:cs="方正仿宋_GBK"/>
          <w:b w:val="0"/>
          <w:bCs/>
          <w:sz w:val="32"/>
          <w:szCs w:val="32"/>
          <w:shd w:val="clear" w:color="auto" w:fill="FFFFFF"/>
          <w:lang w:val="en-US" w:eastAsia="zh-CN"/>
        </w:rPr>
        <w:t>100.00</w:t>
      </w:r>
      <w:r>
        <w:rPr>
          <w:rFonts w:ascii="方正仿宋_GBK" w:hAnsi="方正仿宋_GBK" w:eastAsia="方正仿宋_GBK" w:cs="方正仿宋_GBK"/>
          <w:b w:val="0"/>
          <w:bCs/>
          <w:sz w:val="32"/>
          <w:szCs w:val="32"/>
          <w:shd w:val="clear" w:color="auto" w:fill="FFFFFF"/>
        </w:rPr>
        <w:t>%；事业收入0.00万元，占0.00%；经营收入0.00万元，占0.00%；其他收入0.00万元，占0.00%。此外，使用非财政拨款结余和专用结余0.00万元，年初结转和结余</w:t>
      </w:r>
      <w:r>
        <w:rPr>
          <w:rFonts w:hint="eastAsia" w:ascii="方正仿宋_GBK" w:hAnsi="方正仿宋_GBK" w:eastAsia="方正仿宋_GBK" w:cs="方正仿宋_GBK"/>
          <w:b w:val="0"/>
          <w:bCs/>
          <w:sz w:val="32"/>
          <w:szCs w:val="32"/>
          <w:shd w:val="clear" w:color="auto" w:fill="FFFFFF"/>
          <w:lang w:val="en-US" w:eastAsia="zh-CN"/>
        </w:rPr>
        <w:t>0.00</w:t>
      </w:r>
      <w:r>
        <w:rPr>
          <w:rFonts w:ascii="方正仿宋_GBK" w:hAnsi="方正仿宋_GBK" w:eastAsia="方正仿宋_GBK" w:cs="方正仿宋_GBK"/>
          <w:b w:val="0"/>
          <w:bCs/>
          <w:sz w:val="32"/>
          <w:szCs w:val="32"/>
          <w:shd w:val="clear" w:color="auto" w:fill="FFFFFF"/>
        </w:rPr>
        <w:t>万元。</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sz w:val="32"/>
          <w:szCs w:val="32"/>
          <w:shd w:val="clear" w:color="auto" w:fill="FFFFFF"/>
        </w:rPr>
      </w:pPr>
      <w:r>
        <w:rPr>
          <w:rStyle w:val="10"/>
          <w:rFonts w:ascii="方正仿宋_GBK" w:hAnsi="方正仿宋_GBK" w:eastAsia="方正仿宋_GBK" w:cs="方正仿宋_GBK"/>
          <w:b w:val="0"/>
          <w:bCs/>
          <w:sz w:val="32"/>
          <w:szCs w:val="32"/>
          <w:shd w:val="clear" w:color="auto" w:fill="FFFFFF"/>
        </w:rPr>
        <w:t>3.支出情况。</w:t>
      </w:r>
      <w:r>
        <w:rPr>
          <w:rFonts w:ascii="方正仿宋_GBK" w:hAnsi="方正仿宋_GBK" w:eastAsia="方正仿宋_GBK" w:cs="方正仿宋_GBK"/>
          <w:b w:val="0"/>
          <w:bCs/>
          <w:sz w:val="32"/>
          <w:szCs w:val="32"/>
          <w:shd w:val="clear" w:color="auto" w:fill="FFFFFF"/>
        </w:rPr>
        <w:t>202</w:t>
      </w:r>
      <w:r>
        <w:rPr>
          <w:rFonts w:hint="eastAsia" w:ascii="方正仿宋_GBK" w:hAnsi="方正仿宋_GBK" w:eastAsia="方正仿宋_GBK" w:cs="方正仿宋_GBK"/>
          <w:b w:val="0"/>
          <w:bCs/>
          <w:sz w:val="32"/>
          <w:szCs w:val="32"/>
          <w:shd w:val="clear" w:color="auto" w:fill="FFFFFF"/>
          <w:lang w:val="en-US" w:eastAsia="zh-CN"/>
        </w:rPr>
        <w:t>4</w:t>
      </w:r>
      <w:r>
        <w:rPr>
          <w:rFonts w:ascii="方正仿宋_GBK" w:hAnsi="方正仿宋_GBK" w:eastAsia="方正仿宋_GBK" w:cs="方正仿宋_GBK"/>
          <w:b w:val="0"/>
          <w:bCs/>
          <w:sz w:val="32"/>
          <w:szCs w:val="32"/>
          <w:shd w:val="clear" w:color="auto" w:fill="FFFFFF"/>
        </w:rPr>
        <w:t>年度支出合计</w:t>
      </w:r>
      <w:r>
        <w:rPr>
          <w:rFonts w:hint="eastAsia" w:ascii="方正仿宋_GBK" w:hAnsi="方正仿宋_GBK" w:eastAsia="方正仿宋_GBK" w:cs="方正仿宋_GBK"/>
          <w:b w:val="0"/>
          <w:bCs/>
          <w:sz w:val="32"/>
          <w:szCs w:val="32"/>
          <w:shd w:val="clear" w:color="auto" w:fill="FFFFFF"/>
          <w:lang w:val="en-US" w:eastAsia="zh-CN"/>
        </w:rPr>
        <w:t>198.01</w:t>
      </w:r>
      <w:r>
        <w:rPr>
          <w:rFonts w:ascii="方正仿宋_GBK" w:hAnsi="方正仿宋_GBK" w:eastAsia="方正仿宋_GBK" w:cs="方正仿宋_GBK"/>
          <w:b w:val="0"/>
          <w:bCs/>
          <w:sz w:val="32"/>
          <w:szCs w:val="32"/>
          <w:shd w:val="clear" w:color="auto" w:fill="FFFFFF"/>
        </w:rPr>
        <w:t>万元，较上年决算数</w:t>
      </w:r>
      <w:r>
        <w:rPr>
          <w:rFonts w:hint="eastAsia" w:ascii="方正仿宋_GBK" w:hAnsi="方正仿宋_GBK" w:eastAsia="方正仿宋_GBK" w:cs="方正仿宋_GBK"/>
          <w:b w:val="0"/>
          <w:bCs/>
          <w:sz w:val="32"/>
          <w:szCs w:val="32"/>
          <w:shd w:val="clear" w:color="auto" w:fill="FFFFFF"/>
          <w:lang w:eastAsia="zh-CN"/>
        </w:rPr>
        <w:t>增加</w:t>
      </w:r>
      <w:r>
        <w:rPr>
          <w:rFonts w:hint="eastAsia" w:ascii="方正仿宋_GBK" w:hAnsi="方正仿宋_GBK" w:eastAsia="方正仿宋_GBK" w:cs="方正仿宋_GBK"/>
          <w:b w:val="0"/>
          <w:bCs/>
          <w:sz w:val="32"/>
          <w:szCs w:val="32"/>
          <w:shd w:val="clear" w:color="auto" w:fill="FFFFFF"/>
          <w:lang w:val="en-US" w:eastAsia="zh-CN"/>
        </w:rPr>
        <w:t>10.06</w:t>
      </w:r>
      <w:r>
        <w:rPr>
          <w:rFonts w:ascii="方正仿宋_GBK" w:hAnsi="方正仿宋_GBK" w:eastAsia="方正仿宋_GBK" w:cs="方正仿宋_GBK"/>
          <w:b w:val="0"/>
          <w:bCs/>
          <w:sz w:val="32"/>
          <w:szCs w:val="32"/>
          <w:shd w:val="clear" w:color="auto" w:fill="FFFFFF"/>
        </w:rPr>
        <w:t>万元，</w:t>
      </w:r>
      <w:r>
        <w:rPr>
          <w:rFonts w:hint="eastAsia" w:ascii="方正仿宋_GBK" w:hAnsi="方正仿宋_GBK" w:eastAsia="方正仿宋_GBK" w:cs="方正仿宋_GBK"/>
          <w:b w:val="0"/>
          <w:bCs/>
          <w:sz w:val="32"/>
          <w:szCs w:val="32"/>
          <w:shd w:val="clear" w:color="auto" w:fill="FFFFFF"/>
          <w:lang w:eastAsia="zh-CN"/>
        </w:rPr>
        <w:t>上涨</w:t>
      </w:r>
      <w:r>
        <w:rPr>
          <w:rFonts w:hint="eastAsia" w:ascii="方正仿宋_GBK" w:hAnsi="方正仿宋_GBK" w:eastAsia="方正仿宋_GBK" w:cs="方正仿宋_GBK"/>
          <w:b w:val="0"/>
          <w:bCs/>
          <w:sz w:val="32"/>
          <w:szCs w:val="32"/>
          <w:shd w:val="clear" w:color="auto" w:fill="FFFFFF"/>
          <w:lang w:val="en-US" w:eastAsia="zh-CN"/>
        </w:rPr>
        <w:t>5.08</w:t>
      </w:r>
      <w:r>
        <w:rPr>
          <w:rFonts w:ascii="方正仿宋_GBK" w:hAnsi="方正仿宋_GBK" w:eastAsia="方正仿宋_GBK" w:cs="方正仿宋_GBK"/>
          <w:b w:val="0"/>
          <w:bCs/>
          <w:sz w:val="32"/>
          <w:szCs w:val="32"/>
          <w:shd w:val="clear" w:color="auto" w:fill="FFFFFF"/>
        </w:rPr>
        <w:t>%，主要原因是</w:t>
      </w:r>
      <w:r>
        <w:rPr>
          <w:rFonts w:hint="eastAsia" w:ascii="方正仿宋_GBK" w:hAnsi="方正仿宋_GBK" w:eastAsia="方正仿宋_GBK" w:cs="方正仿宋_GBK"/>
          <w:b w:val="0"/>
          <w:bCs/>
          <w:sz w:val="32"/>
          <w:szCs w:val="32"/>
          <w:shd w:val="clear" w:color="auto" w:fill="FFFFFF"/>
          <w:lang w:eastAsia="zh-CN"/>
        </w:rPr>
        <w:t>人员社保、医疗保险费用增长，</w:t>
      </w:r>
      <w:r>
        <w:rPr>
          <w:rFonts w:ascii="方正仿宋_GBK" w:hAnsi="方正仿宋_GBK" w:eastAsia="方正仿宋_GBK" w:cs="方正仿宋_GBK"/>
          <w:b w:val="0"/>
          <w:bCs/>
          <w:sz w:val="32"/>
          <w:szCs w:val="32"/>
          <w:shd w:val="clear" w:color="auto" w:fill="FFFFFF"/>
        </w:rPr>
        <w:t>其中：基本支出</w:t>
      </w:r>
      <w:r>
        <w:rPr>
          <w:rFonts w:hint="eastAsia" w:ascii="方正仿宋_GBK" w:hAnsi="方正仿宋_GBK" w:eastAsia="方正仿宋_GBK" w:cs="方正仿宋_GBK"/>
          <w:b w:val="0"/>
          <w:bCs/>
          <w:sz w:val="32"/>
          <w:szCs w:val="32"/>
          <w:shd w:val="clear" w:color="auto" w:fill="FFFFFF"/>
          <w:lang w:val="en-US" w:eastAsia="zh-CN"/>
        </w:rPr>
        <w:t>192.81</w:t>
      </w:r>
      <w:r>
        <w:rPr>
          <w:rFonts w:ascii="方正仿宋_GBK" w:hAnsi="方正仿宋_GBK" w:eastAsia="方正仿宋_GBK" w:cs="方正仿宋_GBK"/>
          <w:b w:val="0"/>
          <w:bCs/>
          <w:sz w:val="32"/>
          <w:szCs w:val="32"/>
          <w:shd w:val="clear" w:color="auto" w:fill="FFFFFF"/>
        </w:rPr>
        <w:t>万元，占</w:t>
      </w:r>
      <w:r>
        <w:rPr>
          <w:rFonts w:hint="eastAsia" w:ascii="方正仿宋_GBK" w:hAnsi="方正仿宋_GBK" w:eastAsia="方正仿宋_GBK" w:cs="方正仿宋_GBK"/>
          <w:b w:val="0"/>
          <w:bCs/>
          <w:sz w:val="32"/>
          <w:szCs w:val="32"/>
          <w:shd w:val="clear" w:color="auto" w:fill="FFFFFF"/>
          <w:lang w:val="en-US" w:eastAsia="zh-CN"/>
        </w:rPr>
        <w:t>97.37</w:t>
      </w:r>
      <w:r>
        <w:rPr>
          <w:rFonts w:ascii="方正仿宋_GBK" w:hAnsi="方正仿宋_GBK" w:eastAsia="方正仿宋_GBK" w:cs="方正仿宋_GBK"/>
          <w:b w:val="0"/>
          <w:bCs/>
          <w:sz w:val="32"/>
          <w:szCs w:val="32"/>
          <w:shd w:val="clear" w:color="auto" w:fill="FFFFFF"/>
        </w:rPr>
        <w:t>%；项目支出</w:t>
      </w:r>
      <w:r>
        <w:rPr>
          <w:rFonts w:hint="eastAsia" w:ascii="方正仿宋_GBK" w:hAnsi="方正仿宋_GBK" w:eastAsia="方正仿宋_GBK" w:cs="方正仿宋_GBK"/>
          <w:b w:val="0"/>
          <w:bCs/>
          <w:sz w:val="32"/>
          <w:szCs w:val="32"/>
          <w:shd w:val="clear" w:color="auto" w:fill="FFFFFF"/>
          <w:lang w:val="en-US" w:eastAsia="zh-CN"/>
        </w:rPr>
        <w:t>5.2</w:t>
      </w:r>
      <w:r>
        <w:rPr>
          <w:rFonts w:ascii="方正仿宋_GBK" w:hAnsi="方正仿宋_GBK" w:eastAsia="方正仿宋_GBK" w:cs="方正仿宋_GBK"/>
          <w:b w:val="0"/>
          <w:bCs/>
          <w:sz w:val="32"/>
          <w:szCs w:val="32"/>
          <w:shd w:val="clear" w:color="auto" w:fill="FFFFFF"/>
        </w:rPr>
        <w:t>万元，占</w:t>
      </w:r>
      <w:r>
        <w:rPr>
          <w:rFonts w:hint="eastAsia" w:ascii="方正仿宋_GBK" w:hAnsi="方正仿宋_GBK" w:eastAsia="方正仿宋_GBK" w:cs="方正仿宋_GBK"/>
          <w:b w:val="0"/>
          <w:bCs/>
          <w:sz w:val="32"/>
          <w:szCs w:val="32"/>
          <w:shd w:val="clear" w:color="auto" w:fill="FFFFFF"/>
          <w:lang w:val="en-US" w:eastAsia="zh-CN"/>
        </w:rPr>
        <w:t>2.63</w:t>
      </w:r>
      <w:r>
        <w:rPr>
          <w:rFonts w:ascii="方正仿宋_GBK" w:hAnsi="方正仿宋_GBK" w:eastAsia="方正仿宋_GBK" w:cs="方正仿宋_GBK"/>
          <w:b w:val="0"/>
          <w:bCs/>
          <w:sz w:val="32"/>
          <w:szCs w:val="32"/>
          <w:shd w:val="clear" w:color="auto" w:fill="FFFFFF"/>
        </w:rPr>
        <w:t>%；经营支出0.00万元，占0.00%。此外，结余分配0.00万元。</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sz w:val="32"/>
          <w:szCs w:val="32"/>
        </w:rPr>
      </w:pPr>
      <w:r>
        <w:rPr>
          <w:rStyle w:val="10"/>
          <w:rFonts w:ascii="方正仿宋_GBK" w:hAnsi="方正仿宋_GBK" w:eastAsia="方正仿宋_GBK" w:cs="方正仿宋_GBK"/>
          <w:b w:val="0"/>
          <w:bCs/>
          <w:sz w:val="32"/>
          <w:szCs w:val="32"/>
          <w:shd w:val="clear" w:color="auto" w:fill="FFFFFF"/>
        </w:rPr>
        <w:t>4.结转结余情况。</w:t>
      </w:r>
      <w:r>
        <w:rPr>
          <w:rFonts w:ascii="方正仿宋_GBK" w:hAnsi="方正仿宋_GBK" w:eastAsia="方正仿宋_GBK" w:cs="方正仿宋_GBK"/>
          <w:b w:val="0"/>
          <w:bCs/>
          <w:sz w:val="32"/>
          <w:szCs w:val="32"/>
          <w:shd w:val="clear" w:color="auto" w:fill="FFFFFF"/>
        </w:rPr>
        <w:t>202</w:t>
      </w:r>
      <w:r>
        <w:rPr>
          <w:rFonts w:hint="eastAsia" w:ascii="方正仿宋_GBK" w:hAnsi="方正仿宋_GBK" w:eastAsia="方正仿宋_GBK" w:cs="方正仿宋_GBK"/>
          <w:b w:val="0"/>
          <w:bCs/>
          <w:sz w:val="32"/>
          <w:szCs w:val="32"/>
          <w:shd w:val="clear" w:color="auto" w:fill="FFFFFF"/>
          <w:lang w:val="en-US" w:eastAsia="zh-CN"/>
        </w:rPr>
        <w:t>4</w:t>
      </w:r>
      <w:r>
        <w:rPr>
          <w:rFonts w:ascii="方正仿宋_GBK" w:hAnsi="方正仿宋_GBK" w:eastAsia="方正仿宋_GBK" w:cs="方正仿宋_GBK"/>
          <w:b w:val="0"/>
          <w:bCs/>
          <w:sz w:val="32"/>
          <w:szCs w:val="32"/>
          <w:shd w:val="clear" w:color="auto" w:fill="FFFFFF"/>
        </w:rPr>
        <w:t>年度年末结转和结余</w:t>
      </w:r>
      <w:r>
        <w:rPr>
          <w:rFonts w:hint="eastAsia" w:ascii="方正仿宋_GBK" w:hAnsi="方正仿宋_GBK" w:eastAsia="方正仿宋_GBK" w:cs="方正仿宋_GBK"/>
          <w:b w:val="0"/>
          <w:bCs/>
          <w:sz w:val="32"/>
          <w:szCs w:val="32"/>
          <w:lang w:val="en-US" w:eastAsia="zh-CN"/>
        </w:rPr>
        <w:t>0</w:t>
      </w:r>
      <w:r>
        <w:rPr>
          <w:rFonts w:ascii="方正仿宋_GBK" w:hAnsi="方正仿宋_GBK" w:eastAsia="方正仿宋_GBK" w:cs="方正仿宋_GBK"/>
          <w:b w:val="0"/>
          <w:bCs/>
          <w:sz w:val="32"/>
          <w:szCs w:val="32"/>
          <w:shd w:val="clear" w:color="auto" w:fill="FFFFFF"/>
        </w:rPr>
        <w:t>万元，较上年决算数</w:t>
      </w:r>
      <w:r>
        <w:rPr>
          <w:rFonts w:hint="eastAsia" w:ascii="方正仿宋_GBK" w:hAnsi="方正仿宋_GBK" w:eastAsia="方正仿宋_GBK" w:cs="方正仿宋_GBK"/>
          <w:b w:val="0"/>
          <w:bCs/>
          <w:sz w:val="32"/>
          <w:szCs w:val="32"/>
          <w:shd w:val="clear" w:color="auto" w:fill="FFFFFF"/>
          <w:lang w:eastAsia="zh-CN"/>
        </w:rPr>
        <w:t>上涨</w:t>
      </w:r>
      <w:r>
        <w:rPr>
          <w:rFonts w:hint="eastAsia" w:ascii="方正仿宋_GBK" w:hAnsi="方正仿宋_GBK" w:eastAsia="方正仿宋_GBK" w:cs="方正仿宋_GBK"/>
          <w:b w:val="0"/>
          <w:bCs/>
          <w:sz w:val="32"/>
          <w:szCs w:val="32"/>
          <w:shd w:val="clear" w:color="auto" w:fill="FFFFFF"/>
          <w:lang w:val="en-US" w:eastAsia="zh-CN"/>
        </w:rPr>
        <w:t>0</w:t>
      </w:r>
      <w:r>
        <w:rPr>
          <w:rFonts w:ascii="方正仿宋_GBK" w:hAnsi="方正仿宋_GBK" w:eastAsia="方正仿宋_GBK" w:cs="方正仿宋_GBK"/>
          <w:b w:val="0"/>
          <w:bCs/>
          <w:sz w:val="32"/>
          <w:szCs w:val="32"/>
          <w:shd w:val="clear" w:color="auto" w:fill="FFFFFF"/>
        </w:rPr>
        <w:t>万元。</w:t>
      </w:r>
    </w:p>
    <w:p>
      <w:pPr>
        <w:pStyle w:val="11"/>
        <w:keepNext w:val="0"/>
        <w:keepLines w:val="0"/>
        <w:pageBreakBefore w:val="0"/>
        <w:kinsoku/>
        <w:wordWrap/>
        <w:overflowPunct/>
        <w:topLinePunct w:val="0"/>
        <w:autoSpaceDE w:val="0"/>
        <w:autoSpaceDN/>
        <w:bidi w:val="0"/>
        <w:adjustRightInd/>
        <w:snapToGrid/>
        <w:spacing w:beforeAutospacing="0" w:afterAutospacing="0" w:line="600" w:lineRule="exact"/>
        <w:ind w:firstLine="643"/>
        <w:textAlignment w:val="auto"/>
        <w:rPr>
          <w:rFonts w:ascii="楷体" w:hAnsi="楷体" w:eastAsia="楷体" w:cs="楷体"/>
          <w:b w:val="0"/>
          <w:bCs/>
          <w:sz w:val="32"/>
          <w:szCs w:val="32"/>
          <w:shd w:val="clear" w:color="auto" w:fill="FFFFFF"/>
        </w:rPr>
      </w:pPr>
      <w:r>
        <w:rPr>
          <w:rFonts w:hint="eastAsia" w:ascii="楷体" w:hAnsi="楷体" w:eastAsia="楷体" w:cs="楷体"/>
          <w:b w:val="0"/>
          <w:bCs/>
          <w:sz w:val="32"/>
          <w:szCs w:val="32"/>
          <w:shd w:val="clear" w:color="auto" w:fill="FFFFFF"/>
        </w:rPr>
        <w:t>（二）财政拨款收入支出决算总体情况说明</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sz w:val="32"/>
          <w:szCs w:val="32"/>
          <w:shd w:val="clear" w:color="auto" w:fill="FFFFFF"/>
        </w:rPr>
      </w:pPr>
      <w:r>
        <w:rPr>
          <w:rFonts w:ascii="方正仿宋_GBK" w:hAnsi="方正仿宋_GBK" w:eastAsia="方正仿宋_GBK" w:cs="方正仿宋_GBK"/>
          <w:b w:val="0"/>
          <w:bCs/>
          <w:sz w:val="32"/>
          <w:szCs w:val="32"/>
          <w:shd w:val="clear" w:color="auto" w:fill="FFFFFF"/>
        </w:rPr>
        <w:t>202</w:t>
      </w:r>
      <w:r>
        <w:rPr>
          <w:rFonts w:hint="eastAsia" w:ascii="方正仿宋_GBK" w:hAnsi="方正仿宋_GBK" w:eastAsia="方正仿宋_GBK" w:cs="方正仿宋_GBK"/>
          <w:b w:val="0"/>
          <w:bCs/>
          <w:sz w:val="32"/>
          <w:szCs w:val="32"/>
          <w:shd w:val="clear" w:color="auto" w:fill="FFFFFF"/>
          <w:lang w:val="en-US" w:eastAsia="zh-CN"/>
        </w:rPr>
        <w:t>4</w:t>
      </w:r>
      <w:r>
        <w:rPr>
          <w:rFonts w:ascii="方正仿宋_GBK" w:hAnsi="方正仿宋_GBK" w:eastAsia="方正仿宋_GBK" w:cs="方正仿宋_GBK"/>
          <w:b w:val="0"/>
          <w:bCs/>
          <w:sz w:val="32"/>
          <w:szCs w:val="32"/>
          <w:shd w:val="clear" w:color="auto" w:fill="FFFFFF"/>
        </w:rPr>
        <w:t>年度财政拨款收、支总计</w:t>
      </w:r>
      <w:r>
        <w:rPr>
          <w:rFonts w:hint="eastAsia" w:ascii="方正仿宋_GBK" w:hAnsi="方正仿宋_GBK" w:eastAsia="方正仿宋_GBK" w:cs="方正仿宋_GBK"/>
          <w:b w:val="0"/>
          <w:bCs/>
          <w:sz w:val="32"/>
          <w:szCs w:val="32"/>
          <w:shd w:val="clear" w:color="auto" w:fill="FFFFFF"/>
          <w:lang w:val="en-US" w:eastAsia="zh-CN"/>
        </w:rPr>
        <w:t>198.01</w:t>
      </w:r>
      <w:r>
        <w:rPr>
          <w:rFonts w:ascii="方正仿宋_GBK" w:hAnsi="方正仿宋_GBK" w:eastAsia="方正仿宋_GBK" w:cs="方正仿宋_GBK"/>
          <w:b w:val="0"/>
          <w:bCs/>
          <w:sz w:val="32"/>
          <w:szCs w:val="32"/>
          <w:shd w:val="clear" w:color="auto" w:fill="FFFFFF"/>
        </w:rPr>
        <w:t>万元。与202</w:t>
      </w:r>
      <w:r>
        <w:rPr>
          <w:rFonts w:hint="eastAsia" w:ascii="方正仿宋_GBK" w:hAnsi="方正仿宋_GBK" w:eastAsia="方正仿宋_GBK" w:cs="方正仿宋_GBK"/>
          <w:b w:val="0"/>
          <w:bCs/>
          <w:sz w:val="32"/>
          <w:szCs w:val="32"/>
          <w:shd w:val="clear" w:color="auto" w:fill="FFFFFF"/>
          <w:lang w:val="en-US" w:eastAsia="zh-CN"/>
        </w:rPr>
        <w:t>4</w:t>
      </w:r>
      <w:r>
        <w:rPr>
          <w:rFonts w:ascii="方正仿宋_GBK" w:hAnsi="方正仿宋_GBK" w:eastAsia="方正仿宋_GBK" w:cs="方正仿宋_GBK"/>
          <w:b w:val="0"/>
          <w:bCs/>
          <w:sz w:val="32"/>
          <w:szCs w:val="32"/>
          <w:shd w:val="clear" w:color="auto" w:fill="FFFFFF"/>
        </w:rPr>
        <w:t>年相比，财政拨款收、支总计各</w:t>
      </w:r>
      <w:r>
        <w:rPr>
          <w:rFonts w:hint="eastAsia" w:ascii="方正仿宋_GBK" w:hAnsi="方正仿宋_GBK" w:eastAsia="方正仿宋_GBK" w:cs="方正仿宋_GBK"/>
          <w:b w:val="0"/>
          <w:bCs/>
          <w:sz w:val="32"/>
          <w:szCs w:val="32"/>
          <w:shd w:val="clear" w:color="auto" w:fill="FFFFFF"/>
          <w:lang w:eastAsia="zh-CN"/>
        </w:rPr>
        <w:t>增加</w:t>
      </w:r>
      <w:r>
        <w:rPr>
          <w:rFonts w:hint="eastAsia" w:ascii="方正仿宋_GBK" w:hAnsi="方正仿宋_GBK" w:eastAsia="方正仿宋_GBK" w:cs="方正仿宋_GBK"/>
          <w:b w:val="0"/>
          <w:bCs/>
          <w:sz w:val="32"/>
          <w:szCs w:val="32"/>
          <w:shd w:val="clear" w:color="auto" w:fill="FFFFFF"/>
          <w:lang w:val="en-US" w:eastAsia="zh-CN"/>
        </w:rPr>
        <w:t>10.06</w:t>
      </w:r>
      <w:r>
        <w:rPr>
          <w:rFonts w:ascii="方正仿宋_GBK" w:hAnsi="方正仿宋_GBK" w:eastAsia="方正仿宋_GBK" w:cs="方正仿宋_GBK"/>
          <w:b w:val="0"/>
          <w:bCs/>
          <w:sz w:val="32"/>
          <w:szCs w:val="32"/>
          <w:shd w:val="clear" w:color="auto" w:fill="FFFFFF"/>
        </w:rPr>
        <w:t>万元，增长</w:t>
      </w:r>
      <w:r>
        <w:rPr>
          <w:rFonts w:hint="eastAsia" w:ascii="方正仿宋_GBK" w:hAnsi="方正仿宋_GBK" w:eastAsia="方正仿宋_GBK" w:cs="方正仿宋_GBK"/>
          <w:b w:val="0"/>
          <w:bCs/>
          <w:sz w:val="32"/>
          <w:szCs w:val="32"/>
          <w:shd w:val="clear" w:color="auto" w:fill="FFFFFF"/>
          <w:lang w:val="en-US" w:eastAsia="zh-CN"/>
        </w:rPr>
        <w:t>5.08</w:t>
      </w:r>
      <w:r>
        <w:rPr>
          <w:rFonts w:ascii="方正仿宋_GBK" w:hAnsi="方正仿宋_GBK" w:eastAsia="方正仿宋_GBK" w:cs="方正仿宋_GBK"/>
          <w:b w:val="0"/>
          <w:bCs/>
          <w:sz w:val="32"/>
          <w:szCs w:val="32"/>
          <w:shd w:val="clear" w:color="auto" w:fill="FFFFFF"/>
        </w:rPr>
        <w:t>%</w:t>
      </w:r>
      <w:r>
        <w:rPr>
          <w:rFonts w:hint="eastAsia" w:ascii="方正仿宋_GBK" w:hAnsi="方正仿宋_GBK" w:eastAsia="方正仿宋_GBK" w:cs="方正仿宋_GBK"/>
          <w:b w:val="0"/>
          <w:bCs/>
          <w:sz w:val="32"/>
          <w:szCs w:val="32"/>
          <w:shd w:val="clear" w:color="auto" w:fill="FFFFFF"/>
          <w:lang w:eastAsia="zh-CN"/>
        </w:rPr>
        <w:t>，</w:t>
      </w:r>
      <w:r>
        <w:rPr>
          <w:rFonts w:ascii="方正仿宋_GBK" w:hAnsi="方正仿宋_GBK" w:eastAsia="方正仿宋_GBK" w:cs="方正仿宋_GBK"/>
          <w:b w:val="0"/>
          <w:bCs/>
          <w:sz w:val="32"/>
          <w:szCs w:val="32"/>
          <w:shd w:val="clear" w:color="auto" w:fill="FFFFFF"/>
        </w:rPr>
        <w:t>主要原因是</w:t>
      </w:r>
      <w:r>
        <w:rPr>
          <w:rFonts w:hint="eastAsia" w:ascii="方正仿宋_GBK" w:hAnsi="方正仿宋_GBK" w:eastAsia="方正仿宋_GBK" w:cs="方正仿宋_GBK"/>
          <w:b w:val="0"/>
          <w:bCs/>
          <w:sz w:val="32"/>
          <w:szCs w:val="32"/>
          <w:shd w:val="clear" w:color="auto" w:fill="FFFFFF"/>
          <w:lang w:eastAsia="zh-CN"/>
        </w:rPr>
        <w:t>人员社保、医疗保险费用增长</w:t>
      </w:r>
      <w:r>
        <w:rPr>
          <w:rFonts w:ascii="方正仿宋_GBK" w:hAnsi="方正仿宋_GBK" w:eastAsia="方正仿宋_GBK" w:cs="方正仿宋_GBK"/>
          <w:b w:val="0"/>
          <w:bCs/>
          <w:sz w:val="32"/>
          <w:szCs w:val="32"/>
          <w:shd w:val="clear" w:color="auto" w:fill="FFFFFF"/>
        </w:rPr>
        <w:t>。</w:t>
      </w:r>
    </w:p>
    <w:p>
      <w:pPr>
        <w:pStyle w:val="11"/>
        <w:keepNext w:val="0"/>
        <w:keepLines w:val="0"/>
        <w:pageBreakBefore w:val="0"/>
        <w:kinsoku/>
        <w:wordWrap/>
        <w:overflowPunct/>
        <w:topLinePunct w:val="0"/>
        <w:autoSpaceDE w:val="0"/>
        <w:autoSpaceDN/>
        <w:bidi w:val="0"/>
        <w:adjustRightInd/>
        <w:snapToGrid/>
        <w:spacing w:beforeAutospacing="0" w:afterAutospacing="0" w:line="600" w:lineRule="exact"/>
        <w:ind w:firstLine="643"/>
        <w:textAlignment w:val="auto"/>
        <w:rPr>
          <w:rFonts w:ascii="楷体" w:hAnsi="楷体" w:eastAsia="楷体" w:cs="楷体"/>
          <w:b w:val="0"/>
          <w:bCs/>
          <w:sz w:val="32"/>
          <w:szCs w:val="32"/>
          <w:shd w:val="clear" w:color="auto" w:fill="FFFFFF"/>
        </w:rPr>
      </w:pPr>
      <w:r>
        <w:rPr>
          <w:rFonts w:hint="eastAsia" w:ascii="楷体" w:hAnsi="楷体" w:eastAsia="楷体" w:cs="楷体"/>
          <w:b w:val="0"/>
          <w:bCs/>
          <w:sz w:val="32"/>
          <w:szCs w:val="32"/>
          <w:shd w:val="clear" w:color="auto" w:fill="FFFFFF"/>
        </w:rPr>
        <w:t>（三）一般公共预算财政拨款收入支出决算情况说明</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sz w:val="32"/>
          <w:szCs w:val="32"/>
          <w:highlight w:val="none"/>
          <w:shd w:val="clear" w:color="auto" w:fill="FFFFFF"/>
        </w:rPr>
      </w:pPr>
      <w:r>
        <w:rPr>
          <w:rStyle w:val="10"/>
          <w:rFonts w:ascii="方正仿宋_GBK" w:hAnsi="方正仿宋_GBK" w:eastAsia="方正仿宋_GBK" w:cs="方正仿宋_GBK"/>
          <w:b w:val="0"/>
          <w:bCs/>
          <w:sz w:val="32"/>
          <w:szCs w:val="32"/>
          <w:shd w:val="clear" w:color="auto" w:fill="FFFFFF"/>
        </w:rPr>
        <w:t>1.收入情况。</w:t>
      </w:r>
      <w:r>
        <w:rPr>
          <w:rFonts w:ascii="方正仿宋_GBK" w:hAnsi="方正仿宋_GBK" w:eastAsia="方正仿宋_GBK" w:cs="方正仿宋_GBK"/>
          <w:b w:val="0"/>
          <w:bCs/>
          <w:sz w:val="32"/>
          <w:szCs w:val="32"/>
          <w:shd w:val="clear" w:color="auto" w:fill="FFFFFF"/>
        </w:rPr>
        <w:t>202</w:t>
      </w:r>
      <w:r>
        <w:rPr>
          <w:rFonts w:hint="eastAsia" w:ascii="方正仿宋_GBK" w:hAnsi="方正仿宋_GBK" w:eastAsia="方正仿宋_GBK" w:cs="方正仿宋_GBK"/>
          <w:b w:val="0"/>
          <w:bCs/>
          <w:sz w:val="32"/>
          <w:szCs w:val="32"/>
          <w:shd w:val="clear" w:color="auto" w:fill="FFFFFF"/>
          <w:lang w:val="en-US" w:eastAsia="zh-CN"/>
        </w:rPr>
        <w:t>4</w:t>
      </w:r>
      <w:r>
        <w:rPr>
          <w:rFonts w:ascii="方正仿宋_GBK" w:hAnsi="方正仿宋_GBK" w:eastAsia="方正仿宋_GBK" w:cs="方正仿宋_GBK"/>
          <w:b w:val="0"/>
          <w:bCs/>
          <w:sz w:val="32"/>
          <w:szCs w:val="32"/>
          <w:shd w:val="clear" w:color="auto" w:fill="FFFFFF"/>
        </w:rPr>
        <w:t>年度一般公共预算财政拨款收入</w:t>
      </w:r>
      <w:r>
        <w:rPr>
          <w:rFonts w:hint="eastAsia" w:ascii="方正仿宋_GBK" w:hAnsi="方正仿宋_GBK" w:eastAsia="方正仿宋_GBK" w:cs="方正仿宋_GBK"/>
          <w:b w:val="0"/>
          <w:bCs/>
          <w:sz w:val="32"/>
          <w:szCs w:val="32"/>
          <w:shd w:val="clear" w:color="auto" w:fill="FFFFFF"/>
          <w:lang w:val="en-US" w:eastAsia="zh-CN"/>
        </w:rPr>
        <w:t>198.01</w:t>
      </w:r>
      <w:r>
        <w:rPr>
          <w:rFonts w:ascii="方正仿宋_GBK" w:hAnsi="方正仿宋_GBK" w:eastAsia="方正仿宋_GBK" w:cs="方正仿宋_GBK"/>
          <w:b w:val="0"/>
          <w:bCs/>
          <w:sz w:val="32"/>
          <w:szCs w:val="32"/>
          <w:shd w:val="clear" w:color="auto" w:fill="FFFFFF"/>
        </w:rPr>
        <w:t>万元，较上年决算数增加</w:t>
      </w:r>
      <w:r>
        <w:rPr>
          <w:rFonts w:hint="eastAsia" w:ascii="方正仿宋_GBK" w:hAnsi="方正仿宋_GBK" w:eastAsia="方正仿宋_GBK" w:cs="方正仿宋_GBK"/>
          <w:b w:val="0"/>
          <w:bCs/>
          <w:sz w:val="32"/>
          <w:szCs w:val="32"/>
          <w:shd w:val="clear" w:color="auto" w:fill="FFFFFF"/>
          <w:lang w:val="en-US" w:eastAsia="zh-CN"/>
        </w:rPr>
        <w:t>10.06</w:t>
      </w:r>
      <w:r>
        <w:rPr>
          <w:rFonts w:ascii="方正仿宋_GBK" w:hAnsi="方正仿宋_GBK" w:eastAsia="方正仿宋_GBK" w:cs="方正仿宋_GBK"/>
          <w:b w:val="0"/>
          <w:bCs/>
          <w:sz w:val="32"/>
          <w:szCs w:val="32"/>
          <w:shd w:val="clear" w:color="auto" w:fill="FFFFFF"/>
        </w:rPr>
        <w:t>万元，增长</w:t>
      </w:r>
      <w:r>
        <w:rPr>
          <w:rFonts w:hint="eastAsia" w:ascii="方正仿宋_GBK" w:hAnsi="方正仿宋_GBK" w:eastAsia="方正仿宋_GBK" w:cs="方正仿宋_GBK"/>
          <w:b w:val="0"/>
          <w:bCs/>
          <w:sz w:val="32"/>
          <w:szCs w:val="32"/>
          <w:shd w:val="clear" w:color="auto" w:fill="FFFFFF"/>
          <w:lang w:val="en-US" w:eastAsia="zh-CN"/>
        </w:rPr>
        <w:t>5.08</w:t>
      </w:r>
      <w:r>
        <w:rPr>
          <w:rFonts w:ascii="方正仿宋_GBK" w:hAnsi="方正仿宋_GBK" w:eastAsia="方正仿宋_GBK" w:cs="方正仿宋_GBK"/>
          <w:b w:val="0"/>
          <w:bCs/>
          <w:sz w:val="32"/>
          <w:szCs w:val="32"/>
          <w:shd w:val="clear" w:color="auto" w:fill="FFFFFF"/>
        </w:rPr>
        <w:t>%。</w:t>
      </w:r>
      <w:r>
        <w:rPr>
          <w:rFonts w:ascii="方正仿宋_GBK" w:hAnsi="方正仿宋_GBK" w:eastAsia="方正仿宋_GBK" w:cs="方正仿宋_GBK"/>
          <w:b w:val="0"/>
          <w:bCs/>
          <w:sz w:val="32"/>
          <w:szCs w:val="32"/>
          <w:highlight w:val="none"/>
          <w:shd w:val="clear" w:color="auto" w:fill="FFFFFF"/>
        </w:rPr>
        <w:t>较年初预算数</w:t>
      </w:r>
      <w:r>
        <w:rPr>
          <w:rFonts w:hint="eastAsia" w:ascii="方正仿宋_GBK" w:hAnsi="方正仿宋_GBK" w:eastAsia="方正仿宋_GBK" w:cs="方正仿宋_GBK"/>
          <w:b w:val="0"/>
          <w:bCs/>
          <w:sz w:val="32"/>
          <w:szCs w:val="32"/>
          <w:highlight w:val="none"/>
          <w:shd w:val="clear" w:color="auto" w:fill="FFFFFF"/>
          <w:lang w:eastAsia="zh-CN"/>
        </w:rPr>
        <w:t>减少</w:t>
      </w:r>
      <w:r>
        <w:rPr>
          <w:rFonts w:hint="eastAsia" w:ascii="方正仿宋_GBK" w:hAnsi="方正仿宋_GBK" w:eastAsia="方正仿宋_GBK" w:cs="方正仿宋_GBK"/>
          <w:b w:val="0"/>
          <w:bCs/>
          <w:sz w:val="32"/>
          <w:szCs w:val="32"/>
          <w:highlight w:val="none"/>
          <w:shd w:val="clear" w:color="auto" w:fill="FFFFFF"/>
          <w:lang w:val="en-US" w:eastAsia="zh-CN"/>
        </w:rPr>
        <w:t>1.65</w:t>
      </w:r>
      <w:r>
        <w:rPr>
          <w:rFonts w:ascii="方正仿宋_GBK" w:hAnsi="方正仿宋_GBK" w:eastAsia="方正仿宋_GBK" w:cs="方正仿宋_GBK"/>
          <w:b w:val="0"/>
          <w:bCs/>
          <w:sz w:val="32"/>
          <w:szCs w:val="32"/>
          <w:highlight w:val="none"/>
          <w:shd w:val="clear" w:color="auto" w:fill="FFFFFF"/>
        </w:rPr>
        <w:t>万元，</w:t>
      </w:r>
      <w:r>
        <w:rPr>
          <w:rFonts w:hint="eastAsia" w:ascii="方正仿宋_GBK" w:hAnsi="方正仿宋_GBK" w:eastAsia="方正仿宋_GBK" w:cs="方正仿宋_GBK"/>
          <w:b w:val="0"/>
          <w:bCs/>
          <w:sz w:val="32"/>
          <w:szCs w:val="32"/>
          <w:highlight w:val="none"/>
          <w:shd w:val="clear" w:color="auto" w:fill="FFFFFF"/>
          <w:lang w:eastAsia="zh-CN"/>
        </w:rPr>
        <w:t>下降</w:t>
      </w:r>
      <w:r>
        <w:rPr>
          <w:rFonts w:hint="eastAsia" w:ascii="方正仿宋_GBK" w:hAnsi="方正仿宋_GBK" w:eastAsia="方正仿宋_GBK" w:cs="方正仿宋_GBK"/>
          <w:b w:val="0"/>
          <w:bCs/>
          <w:sz w:val="32"/>
          <w:szCs w:val="32"/>
          <w:highlight w:val="none"/>
          <w:shd w:val="clear" w:color="auto" w:fill="FFFFFF"/>
          <w:lang w:val="en-US" w:eastAsia="zh-CN"/>
        </w:rPr>
        <w:t>0.83</w:t>
      </w:r>
      <w:r>
        <w:rPr>
          <w:rFonts w:ascii="方正仿宋_GBK" w:hAnsi="方正仿宋_GBK" w:eastAsia="方正仿宋_GBK" w:cs="方正仿宋_GBK"/>
          <w:b w:val="0"/>
          <w:bCs/>
          <w:sz w:val="32"/>
          <w:szCs w:val="32"/>
          <w:highlight w:val="none"/>
          <w:shd w:val="clear" w:color="auto" w:fill="FFFFFF"/>
        </w:rPr>
        <w:t>%。此外，年初财政拨款结转和结余0.00万元。</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eastAsia" w:ascii="方正仿宋_GBK" w:hAnsi="方正仿宋_GBK" w:eastAsia="方正仿宋_GBK" w:cs="方正仿宋_GBK"/>
          <w:b w:val="0"/>
          <w:bCs/>
          <w:sz w:val="32"/>
          <w:szCs w:val="32"/>
          <w:highlight w:val="none"/>
          <w:shd w:val="clear" w:color="auto" w:fill="FFFFFF"/>
          <w:lang w:eastAsia="zh-CN"/>
        </w:rPr>
      </w:pPr>
      <w:r>
        <w:rPr>
          <w:rStyle w:val="10"/>
          <w:rFonts w:ascii="方正仿宋_GBK" w:hAnsi="方正仿宋_GBK" w:eastAsia="方正仿宋_GBK" w:cs="方正仿宋_GBK"/>
          <w:b w:val="0"/>
          <w:bCs/>
          <w:sz w:val="32"/>
          <w:szCs w:val="32"/>
          <w:highlight w:val="none"/>
          <w:shd w:val="clear" w:color="auto" w:fill="FFFFFF"/>
        </w:rPr>
        <w:t>2.支出情况。</w:t>
      </w:r>
      <w:r>
        <w:rPr>
          <w:rFonts w:ascii="方正仿宋_GBK" w:hAnsi="方正仿宋_GBK" w:eastAsia="方正仿宋_GBK" w:cs="方正仿宋_GBK"/>
          <w:b w:val="0"/>
          <w:bCs/>
          <w:sz w:val="32"/>
          <w:szCs w:val="32"/>
          <w:highlight w:val="none"/>
          <w:shd w:val="clear" w:color="auto" w:fill="FFFFFF"/>
        </w:rPr>
        <w:t>202</w:t>
      </w:r>
      <w:r>
        <w:rPr>
          <w:rFonts w:hint="eastAsia" w:ascii="方正仿宋_GBK" w:hAnsi="方正仿宋_GBK" w:eastAsia="方正仿宋_GBK" w:cs="方正仿宋_GBK"/>
          <w:b w:val="0"/>
          <w:bCs/>
          <w:sz w:val="32"/>
          <w:szCs w:val="32"/>
          <w:highlight w:val="none"/>
          <w:shd w:val="clear" w:color="auto" w:fill="FFFFFF"/>
          <w:lang w:val="en-US" w:eastAsia="zh-CN"/>
        </w:rPr>
        <w:t>4</w:t>
      </w:r>
      <w:r>
        <w:rPr>
          <w:rFonts w:ascii="方正仿宋_GBK" w:hAnsi="方正仿宋_GBK" w:eastAsia="方正仿宋_GBK" w:cs="方正仿宋_GBK"/>
          <w:b w:val="0"/>
          <w:bCs/>
          <w:sz w:val="32"/>
          <w:szCs w:val="32"/>
          <w:highlight w:val="none"/>
          <w:shd w:val="clear" w:color="auto" w:fill="FFFFFF"/>
        </w:rPr>
        <w:t>年度一般公共预算财政拨款支出</w:t>
      </w:r>
      <w:r>
        <w:rPr>
          <w:rFonts w:hint="eastAsia" w:ascii="方正仿宋_GBK" w:hAnsi="方正仿宋_GBK" w:eastAsia="方正仿宋_GBK" w:cs="方正仿宋_GBK"/>
          <w:b w:val="0"/>
          <w:bCs/>
          <w:sz w:val="32"/>
          <w:szCs w:val="32"/>
          <w:highlight w:val="none"/>
          <w:shd w:val="clear" w:color="auto" w:fill="FFFFFF"/>
          <w:lang w:val="en-US" w:eastAsia="zh-CN"/>
        </w:rPr>
        <w:t>198.01</w:t>
      </w:r>
      <w:r>
        <w:rPr>
          <w:rFonts w:ascii="方正仿宋_GBK" w:hAnsi="方正仿宋_GBK" w:eastAsia="方正仿宋_GBK" w:cs="方正仿宋_GBK"/>
          <w:b w:val="0"/>
          <w:bCs/>
          <w:sz w:val="32"/>
          <w:szCs w:val="32"/>
          <w:highlight w:val="none"/>
          <w:shd w:val="clear" w:color="auto" w:fill="FFFFFF"/>
        </w:rPr>
        <w:t>万元，较上年决算数增加</w:t>
      </w:r>
      <w:r>
        <w:rPr>
          <w:rFonts w:hint="eastAsia" w:ascii="方正仿宋_GBK" w:hAnsi="方正仿宋_GBK" w:eastAsia="方正仿宋_GBK" w:cs="方正仿宋_GBK"/>
          <w:b w:val="0"/>
          <w:bCs/>
          <w:sz w:val="32"/>
          <w:szCs w:val="32"/>
          <w:highlight w:val="none"/>
          <w:shd w:val="clear" w:color="auto" w:fill="FFFFFF"/>
          <w:lang w:val="en-US" w:eastAsia="zh-CN"/>
        </w:rPr>
        <w:t>10.06</w:t>
      </w:r>
      <w:r>
        <w:rPr>
          <w:rFonts w:ascii="方正仿宋_GBK" w:hAnsi="方正仿宋_GBK" w:eastAsia="方正仿宋_GBK" w:cs="方正仿宋_GBK"/>
          <w:b w:val="0"/>
          <w:bCs/>
          <w:sz w:val="32"/>
          <w:szCs w:val="32"/>
          <w:highlight w:val="none"/>
          <w:shd w:val="clear" w:color="auto" w:fill="FFFFFF"/>
        </w:rPr>
        <w:t>万元，增长</w:t>
      </w:r>
      <w:r>
        <w:rPr>
          <w:rFonts w:hint="eastAsia" w:ascii="方正仿宋_GBK" w:hAnsi="方正仿宋_GBK" w:eastAsia="方正仿宋_GBK" w:cs="方正仿宋_GBK"/>
          <w:b w:val="0"/>
          <w:bCs/>
          <w:sz w:val="32"/>
          <w:szCs w:val="32"/>
          <w:highlight w:val="none"/>
          <w:shd w:val="clear" w:color="auto" w:fill="FFFFFF"/>
          <w:lang w:val="en-US" w:eastAsia="zh-CN"/>
        </w:rPr>
        <w:t>5.08</w:t>
      </w:r>
      <w:r>
        <w:rPr>
          <w:rFonts w:ascii="方正仿宋_GBK" w:hAnsi="方正仿宋_GBK" w:eastAsia="方正仿宋_GBK" w:cs="方正仿宋_GBK"/>
          <w:b w:val="0"/>
          <w:bCs/>
          <w:sz w:val="32"/>
          <w:szCs w:val="32"/>
          <w:highlight w:val="none"/>
          <w:shd w:val="clear" w:color="auto" w:fill="FFFFFF"/>
        </w:rPr>
        <w:t>%。</w:t>
      </w:r>
      <w:r>
        <w:rPr>
          <w:rFonts w:ascii="方正仿宋_GBK" w:hAnsi="方正仿宋_GBK" w:eastAsia="方正仿宋_GBK" w:cs="方正仿宋_GBK"/>
          <w:b w:val="0"/>
          <w:bCs/>
          <w:sz w:val="32"/>
          <w:szCs w:val="32"/>
          <w:shd w:val="clear" w:color="auto" w:fill="FFFFFF"/>
        </w:rPr>
        <w:t>主要原因是</w:t>
      </w:r>
      <w:r>
        <w:rPr>
          <w:rFonts w:hint="eastAsia" w:ascii="方正仿宋_GBK" w:hAnsi="方正仿宋_GBK" w:eastAsia="方正仿宋_GBK" w:cs="方正仿宋_GBK"/>
          <w:b w:val="0"/>
          <w:bCs/>
          <w:sz w:val="32"/>
          <w:szCs w:val="32"/>
          <w:shd w:val="clear" w:color="auto" w:fill="FFFFFF"/>
          <w:lang w:eastAsia="zh-CN"/>
        </w:rPr>
        <w:t>人员社保、医疗保险费用增长</w:t>
      </w:r>
      <w:r>
        <w:rPr>
          <w:rFonts w:ascii="方正仿宋_GBK" w:hAnsi="方正仿宋_GBK" w:eastAsia="方正仿宋_GBK" w:cs="方正仿宋_GBK"/>
          <w:b w:val="0"/>
          <w:bCs/>
          <w:sz w:val="32"/>
          <w:szCs w:val="32"/>
          <w:shd w:val="clear" w:color="auto" w:fill="FFFFFF"/>
        </w:rPr>
        <w:t>。</w:t>
      </w:r>
      <w:r>
        <w:rPr>
          <w:rFonts w:ascii="方正仿宋_GBK" w:hAnsi="方正仿宋_GBK" w:eastAsia="方正仿宋_GBK" w:cs="方正仿宋_GBK"/>
          <w:b w:val="0"/>
          <w:bCs/>
          <w:sz w:val="32"/>
          <w:szCs w:val="32"/>
          <w:highlight w:val="none"/>
          <w:shd w:val="clear" w:color="auto" w:fill="FFFFFF"/>
        </w:rPr>
        <w:t>较年初预算数</w:t>
      </w:r>
      <w:r>
        <w:rPr>
          <w:rFonts w:hint="eastAsia" w:ascii="方正仿宋_GBK" w:hAnsi="方正仿宋_GBK" w:eastAsia="方正仿宋_GBK" w:cs="方正仿宋_GBK"/>
          <w:b w:val="0"/>
          <w:bCs/>
          <w:sz w:val="32"/>
          <w:szCs w:val="32"/>
          <w:highlight w:val="none"/>
          <w:shd w:val="clear" w:color="auto" w:fill="FFFFFF"/>
          <w:lang w:eastAsia="zh-CN"/>
        </w:rPr>
        <w:t>减少</w:t>
      </w:r>
      <w:r>
        <w:rPr>
          <w:rFonts w:hint="eastAsia" w:ascii="方正仿宋_GBK" w:hAnsi="方正仿宋_GBK" w:eastAsia="方正仿宋_GBK" w:cs="方正仿宋_GBK"/>
          <w:b w:val="0"/>
          <w:bCs/>
          <w:sz w:val="32"/>
          <w:szCs w:val="32"/>
          <w:highlight w:val="none"/>
          <w:shd w:val="clear" w:color="auto" w:fill="FFFFFF"/>
          <w:lang w:val="en-US" w:eastAsia="zh-CN"/>
        </w:rPr>
        <w:t>1.65</w:t>
      </w:r>
      <w:r>
        <w:rPr>
          <w:rFonts w:ascii="方正仿宋_GBK" w:hAnsi="方正仿宋_GBK" w:eastAsia="方正仿宋_GBK" w:cs="方正仿宋_GBK"/>
          <w:b w:val="0"/>
          <w:bCs/>
          <w:sz w:val="32"/>
          <w:szCs w:val="32"/>
          <w:highlight w:val="none"/>
          <w:shd w:val="clear" w:color="auto" w:fill="FFFFFF"/>
        </w:rPr>
        <w:t>万元，</w:t>
      </w:r>
      <w:r>
        <w:rPr>
          <w:rFonts w:hint="eastAsia" w:ascii="方正仿宋_GBK" w:hAnsi="方正仿宋_GBK" w:eastAsia="方正仿宋_GBK" w:cs="方正仿宋_GBK"/>
          <w:b w:val="0"/>
          <w:bCs/>
          <w:sz w:val="32"/>
          <w:szCs w:val="32"/>
          <w:highlight w:val="none"/>
          <w:shd w:val="clear" w:color="auto" w:fill="FFFFFF"/>
          <w:lang w:eastAsia="zh-CN"/>
        </w:rPr>
        <w:t>增长下降</w:t>
      </w:r>
      <w:r>
        <w:rPr>
          <w:rFonts w:hint="eastAsia" w:ascii="方正仿宋_GBK" w:hAnsi="方正仿宋_GBK" w:eastAsia="方正仿宋_GBK" w:cs="方正仿宋_GBK"/>
          <w:b w:val="0"/>
          <w:bCs/>
          <w:sz w:val="32"/>
          <w:szCs w:val="32"/>
          <w:highlight w:val="none"/>
          <w:shd w:val="clear" w:color="auto" w:fill="FFFFFF"/>
          <w:lang w:val="en-US" w:eastAsia="zh-CN"/>
        </w:rPr>
        <w:t>0.83</w:t>
      </w:r>
      <w:r>
        <w:rPr>
          <w:rFonts w:ascii="方正仿宋_GBK" w:hAnsi="方正仿宋_GBK" w:eastAsia="方正仿宋_GBK" w:cs="方正仿宋_GBK"/>
          <w:b w:val="0"/>
          <w:bCs/>
          <w:sz w:val="32"/>
          <w:szCs w:val="32"/>
          <w:highlight w:val="none"/>
          <w:shd w:val="clear" w:color="auto" w:fill="FFFFFF"/>
        </w:rPr>
        <w:t>%</w:t>
      </w:r>
      <w:r>
        <w:rPr>
          <w:rFonts w:hint="eastAsia" w:ascii="方正仿宋_GBK" w:hAnsi="方正仿宋_GBK" w:eastAsia="方正仿宋_GBK" w:cs="方正仿宋_GBK"/>
          <w:b w:val="0"/>
          <w:bCs/>
          <w:sz w:val="32"/>
          <w:szCs w:val="32"/>
          <w:highlight w:val="none"/>
          <w:shd w:val="clear" w:color="auto" w:fill="FFFFFF"/>
          <w:lang w:eastAsia="zh-CN"/>
        </w:rPr>
        <w:t>。</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sz w:val="32"/>
          <w:szCs w:val="32"/>
          <w:shd w:val="clear" w:color="auto" w:fill="FFFFFF"/>
        </w:rPr>
      </w:pPr>
      <w:r>
        <w:rPr>
          <w:rStyle w:val="10"/>
          <w:rFonts w:ascii="方正仿宋_GBK" w:hAnsi="方正仿宋_GBK" w:eastAsia="方正仿宋_GBK" w:cs="方正仿宋_GBK"/>
          <w:b w:val="0"/>
          <w:bCs/>
          <w:sz w:val="32"/>
          <w:szCs w:val="32"/>
          <w:shd w:val="clear" w:color="auto" w:fill="FFFFFF"/>
        </w:rPr>
        <w:t>3.结转结余情况。</w:t>
      </w:r>
      <w:r>
        <w:rPr>
          <w:rFonts w:ascii="方正仿宋_GBK" w:hAnsi="方正仿宋_GBK" w:eastAsia="方正仿宋_GBK" w:cs="方正仿宋_GBK"/>
          <w:b w:val="0"/>
          <w:bCs/>
          <w:sz w:val="32"/>
          <w:szCs w:val="32"/>
          <w:shd w:val="clear" w:color="auto" w:fill="FFFFFF"/>
        </w:rPr>
        <w:t>202</w:t>
      </w:r>
      <w:r>
        <w:rPr>
          <w:rFonts w:hint="eastAsia" w:ascii="方正仿宋_GBK" w:hAnsi="方正仿宋_GBK" w:eastAsia="方正仿宋_GBK" w:cs="方正仿宋_GBK"/>
          <w:b w:val="0"/>
          <w:bCs/>
          <w:sz w:val="32"/>
          <w:szCs w:val="32"/>
          <w:shd w:val="clear" w:color="auto" w:fill="FFFFFF"/>
          <w:lang w:val="en-US" w:eastAsia="zh-CN"/>
        </w:rPr>
        <w:t>4</w:t>
      </w:r>
      <w:r>
        <w:rPr>
          <w:rFonts w:ascii="方正仿宋_GBK" w:hAnsi="方正仿宋_GBK" w:eastAsia="方正仿宋_GBK" w:cs="方正仿宋_GBK"/>
          <w:b w:val="0"/>
          <w:bCs/>
          <w:sz w:val="32"/>
          <w:szCs w:val="32"/>
          <w:shd w:val="clear" w:color="auto" w:fill="FFFFFF"/>
        </w:rPr>
        <w:t>年度年末一般公共预算财政拨款结转和结余</w:t>
      </w:r>
      <w:r>
        <w:rPr>
          <w:rFonts w:hint="eastAsia" w:ascii="方正仿宋_GBK" w:hAnsi="方正仿宋_GBK" w:eastAsia="方正仿宋_GBK" w:cs="方正仿宋_GBK"/>
          <w:b w:val="0"/>
          <w:bCs/>
          <w:sz w:val="32"/>
          <w:szCs w:val="32"/>
          <w:shd w:val="clear" w:color="auto" w:fill="FFFFFF"/>
          <w:lang w:val="en-US" w:eastAsia="zh-CN"/>
        </w:rPr>
        <w:t>0</w:t>
      </w:r>
      <w:r>
        <w:rPr>
          <w:rFonts w:ascii="方正仿宋_GBK" w:hAnsi="方正仿宋_GBK" w:eastAsia="方正仿宋_GBK" w:cs="方正仿宋_GBK"/>
          <w:b w:val="0"/>
          <w:bCs/>
          <w:sz w:val="32"/>
          <w:szCs w:val="32"/>
          <w:shd w:val="clear" w:color="auto" w:fill="FFFFFF"/>
        </w:rPr>
        <w:t>万元，较上年决算数减少</w:t>
      </w:r>
      <w:r>
        <w:rPr>
          <w:rFonts w:hint="eastAsia" w:ascii="方正仿宋_GBK" w:hAnsi="方正仿宋_GBK" w:eastAsia="方正仿宋_GBK" w:cs="方正仿宋_GBK"/>
          <w:b w:val="0"/>
          <w:bCs/>
          <w:sz w:val="32"/>
          <w:szCs w:val="32"/>
          <w:shd w:val="clear" w:color="auto" w:fill="FFFFFF"/>
          <w:lang w:eastAsia="zh-CN"/>
        </w:rPr>
        <w:t>增加</w:t>
      </w:r>
      <w:r>
        <w:rPr>
          <w:rFonts w:hint="eastAsia" w:ascii="方正仿宋_GBK" w:hAnsi="方正仿宋_GBK" w:eastAsia="方正仿宋_GBK" w:cs="方正仿宋_GBK"/>
          <w:b w:val="0"/>
          <w:bCs/>
          <w:sz w:val="32"/>
          <w:szCs w:val="32"/>
          <w:shd w:val="clear" w:color="auto" w:fill="FFFFFF"/>
          <w:lang w:val="en-US" w:eastAsia="zh-CN"/>
        </w:rPr>
        <w:t>0</w:t>
      </w:r>
      <w:r>
        <w:rPr>
          <w:rFonts w:ascii="方正仿宋_GBK" w:hAnsi="方正仿宋_GBK" w:eastAsia="方正仿宋_GBK" w:cs="方正仿宋_GBK"/>
          <w:b w:val="0"/>
          <w:bCs/>
          <w:sz w:val="32"/>
          <w:szCs w:val="32"/>
          <w:shd w:val="clear" w:color="auto" w:fill="FFFFFF"/>
        </w:rPr>
        <w:t>万元。</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color w:val="FF0000"/>
          <w:sz w:val="32"/>
          <w:szCs w:val="32"/>
          <w:highlight w:val="cyan"/>
          <w:shd w:val="clear" w:color="auto" w:fill="FFFFFF"/>
        </w:rPr>
      </w:pPr>
      <w:r>
        <w:rPr>
          <w:rStyle w:val="10"/>
          <w:rFonts w:ascii="方正仿宋_GBK" w:hAnsi="方正仿宋_GBK" w:eastAsia="方正仿宋_GBK" w:cs="方正仿宋_GBK"/>
          <w:b w:val="0"/>
          <w:bCs/>
          <w:sz w:val="32"/>
          <w:szCs w:val="32"/>
          <w:shd w:val="clear" w:color="auto" w:fill="FFFFFF"/>
        </w:rPr>
        <w:t>4.比较情况。</w:t>
      </w:r>
      <w:r>
        <w:rPr>
          <w:rFonts w:ascii="方正仿宋_GBK" w:hAnsi="方正仿宋_GBK" w:eastAsia="方正仿宋_GBK" w:cs="方正仿宋_GBK"/>
          <w:b w:val="0"/>
          <w:bCs/>
          <w:sz w:val="32"/>
          <w:szCs w:val="32"/>
          <w:shd w:val="clear" w:color="auto" w:fill="FFFFFF"/>
        </w:rPr>
        <w:t>本单位202</w:t>
      </w:r>
      <w:r>
        <w:rPr>
          <w:rFonts w:hint="eastAsia" w:ascii="方正仿宋_GBK" w:hAnsi="方正仿宋_GBK" w:eastAsia="方正仿宋_GBK" w:cs="方正仿宋_GBK"/>
          <w:b w:val="0"/>
          <w:bCs/>
          <w:sz w:val="32"/>
          <w:szCs w:val="32"/>
          <w:shd w:val="clear" w:color="auto" w:fill="FFFFFF"/>
          <w:lang w:val="en-US" w:eastAsia="zh-CN"/>
        </w:rPr>
        <w:t>4</w:t>
      </w:r>
      <w:r>
        <w:rPr>
          <w:rFonts w:ascii="方正仿宋_GBK" w:hAnsi="方正仿宋_GBK" w:eastAsia="方正仿宋_GBK" w:cs="方正仿宋_GBK"/>
          <w:b w:val="0"/>
          <w:bCs/>
          <w:sz w:val="32"/>
          <w:szCs w:val="32"/>
          <w:shd w:val="clear" w:color="auto" w:fill="FFFFFF"/>
        </w:rPr>
        <w:t>年度一般公共预算财政拨款支出主要用于以下几个方面：</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ascii="方正仿宋_GBK" w:hAnsi="方正仿宋_GBK" w:eastAsia="方正仿宋_GBK" w:cs="方正仿宋_GBK"/>
          <w:b w:val="0"/>
          <w:bCs/>
          <w:sz w:val="32"/>
          <w:szCs w:val="32"/>
          <w:shd w:val="clear" w:color="auto" w:fill="FFFFFF"/>
        </w:rPr>
      </w:pPr>
      <w:r>
        <w:rPr>
          <w:rFonts w:ascii="方正仿宋_GBK" w:hAnsi="方正仿宋_GBK" w:eastAsia="方正仿宋_GBK" w:cs="方正仿宋_GBK"/>
          <w:b w:val="0"/>
          <w:bCs/>
          <w:sz w:val="32"/>
          <w:szCs w:val="32"/>
          <w:shd w:val="clear" w:color="auto" w:fill="FFFFFF"/>
        </w:rPr>
        <w:t>（</w:t>
      </w:r>
      <w:r>
        <w:rPr>
          <w:rFonts w:hint="eastAsia" w:ascii="方正仿宋_GBK" w:hAnsi="方正仿宋_GBK" w:eastAsia="方正仿宋_GBK" w:cs="方正仿宋_GBK"/>
          <w:b w:val="0"/>
          <w:bCs/>
          <w:sz w:val="32"/>
          <w:szCs w:val="32"/>
          <w:shd w:val="clear" w:color="auto" w:fill="FFFFFF"/>
          <w:lang w:val="en-US" w:eastAsia="zh-CN"/>
        </w:rPr>
        <w:t>1</w:t>
      </w:r>
      <w:r>
        <w:rPr>
          <w:rFonts w:ascii="方正仿宋_GBK" w:hAnsi="方正仿宋_GBK" w:eastAsia="方正仿宋_GBK" w:cs="方正仿宋_GBK"/>
          <w:b w:val="0"/>
          <w:bCs/>
          <w:sz w:val="32"/>
          <w:szCs w:val="32"/>
          <w:shd w:val="clear" w:color="auto" w:fill="FFFFFF"/>
        </w:rPr>
        <w:t>）</w:t>
      </w:r>
      <w:r>
        <w:rPr>
          <w:rFonts w:hint="eastAsia" w:ascii="方正仿宋_GBK" w:hAnsi="方正仿宋_GBK" w:eastAsia="方正仿宋_GBK" w:cs="方正仿宋_GBK"/>
          <w:b w:val="0"/>
          <w:bCs/>
          <w:sz w:val="32"/>
          <w:szCs w:val="32"/>
          <w:shd w:val="clear" w:color="auto" w:fill="FFFFFF"/>
          <w:lang w:eastAsia="zh-CN"/>
        </w:rPr>
        <w:t>社会保障和就业支</w:t>
      </w:r>
      <w:r>
        <w:rPr>
          <w:rFonts w:ascii="方正仿宋_GBK" w:hAnsi="方正仿宋_GBK" w:eastAsia="方正仿宋_GBK" w:cs="方正仿宋_GBK"/>
          <w:b w:val="0"/>
          <w:bCs/>
          <w:sz w:val="32"/>
          <w:szCs w:val="32"/>
          <w:shd w:val="clear" w:color="auto" w:fill="FFFFFF"/>
        </w:rPr>
        <w:t>出</w:t>
      </w:r>
      <w:r>
        <w:rPr>
          <w:rFonts w:hint="eastAsia" w:ascii="方正仿宋_GBK" w:hAnsi="方正仿宋_GBK" w:eastAsia="方正仿宋_GBK" w:cs="方正仿宋_GBK"/>
          <w:b w:val="0"/>
          <w:bCs/>
          <w:sz w:val="32"/>
          <w:szCs w:val="32"/>
          <w:shd w:val="clear" w:color="auto" w:fill="FFFFFF"/>
          <w:lang w:val="en-US" w:eastAsia="zh-CN"/>
        </w:rPr>
        <w:t>35.83</w:t>
      </w:r>
      <w:r>
        <w:rPr>
          <w:rFonts w:ascii="方正仿宋_GBK" w:hAnsi="方正仿宋_GBK" w:eastAsia="方正仿宋_GBK" w:cs="方正仿宋_GBK"/>
          <w:b w:val="0"/>
          <w:bCs/>
          <w:sz w:val="32"/>
          <w:szCs w:val="32"/>
          <w:shd w:val="clear" w:color="auto" w:fill="FFFFFF"/>
        </w:rPr>
        <w:t>万元，占</w:t>
      </w:r>
      <w:r>
        <w:rPr>
          <w:rFonts w:hint="eastAsia" w:ascii="方正仿宋_GBK" w:hAnsi="方正仿宋_GBK" w:eastAsia="方正仿宋_GBK" w:cs="方正仿宋_GBK"/>
          <w:b w:val="0"/>
          <w:bCs/>
          <w:sz w:val="32"/>
          <w:szCs w:val="32"/>
          <w:shd w:val="clear" w:color="auto" w:fill="FFFFFF"/>
          <w:lang w:val="en-US" w:eastAsia="zh-CN"/>
        </w:rPr>
        <w:t>18.1</w:t>
      </w:r>
      <w:r>
        <w:rPr>
          <w:rFonts w:ascii="方正仿宋_GBK" w:hAnsi="方正仿宋_GBK" w:eastAsia="方正仿宋_GBK" w:cs="方正仿宋_GBK"/>
          <w:b w:val="0"/>
          <w:bCs/>
          <w:sz w:val="32"/>
          <w:szCs w:val="32"/>
          <w:shd w:val="clear" w:color="auto" w:fill="FFFFFF"/>
        </w:rPr>
        <w:t>%，较年初预算数</w:t>
      </w:r>
      <w:r>
        <w:rPr>
          <w:rFonts w:hint="eastAsia" w:ascii="方正仿宋_GBK" w:hAnsi="方正仿宋_GBK" w:eastAsia="方正仿宋_GBK" w:cs="方正仿宋_GBK"/>
          <w:b w:val="0"/>
          <w:bCs/>
          <w:sz w:val="32"/>
          <w:szCs w:val="32"/>
          <w:shd w:val="clear" w:color="auto" w:fill="FFFFFF"/>
          <w:lang w:eastAsia="zh-CN"/>
        </w:rPr>
        <w:t>增加</w:t>
      </w:r>
      <w:r>
        <w:rPr>
          <w:rFonts w:hint="eastAsia" w:ascii="方正仿宋_GBK" w:hAnsi="方正仿宋_GBK" w:eastAsia="方正仿宋_GBK" w:cs="方正仿宋_GBK"/>
          <w:b w:val="0"/>
          <w:bCs/>
          <w:sz w:val="32"/>
          <w:szCs w:val="32"/>
          <w:shd w:val="clear" w:color="auto" w:fill="FFFFFF"/>
          <w:lang w:val="en-US" w:eastAsia="zh-CN"/>
        </w:rPr>
        <w:t>16.22</w:t>
      </w:r>
      <w:r>
        <w:rPr>
          <w:rFonts w:ascii="方正仿宋_GBK" w:hAnsi="方正仿宋_GBK" w:eastAsia="方正仿宋_GBK" w:cs="方正仿宋_GBK"/>
          <w:b w:val="0"/>
          <w:bCs/>
          <w:sz w:val="32"/>
          <w:szCs w:val="32"/>
          <w:shd w:val="clear" w:color="auto" w:fill="FFFFFF"/>
        </w:rPr>
        <w:t>万元，</w:t>
      </w:r>
      <w:r>
        <w:rPr>
          <w:rFonts w:hint="eastAsia" w:ascii="方正仿宋_GBK" w:hAnsi="方正仿宋_GBK" w:eastAsia="方正仿宋_GBK" w:cs="方正仿宋_GBK"/>
          <w:b w:val="0"/>
          <w:bCs/>
          <w:sz w:val="32"/>
          <w:szCs w:val="32"/>
          <w:shd w:val="clear" w:color="auto" w:fill="FFFFFF"/>
          <w:lang w:eastAsia="zh-CN"/>
        </w:rPr>
        <w:t>增加</w:t>
      </w:r>
      <w:r>
        <w:rPr>
          <w:rFonts w:hint="eastAsia" w:ascii="方正仿宋_GBK" w:hAnsi="方正仿宋_GBK" w:eastAsia="方正仿宋_GBK" w:cs="方正仿宋_GBK"/>
          <w:b w:val="0"/>
          <w:bCs/>
          <w:sz w:val="32"/>
          <w:szCs w:val="32"/>
          <w:shd w:val="clear" w:color="auto" w:fill="FFFFFF"/>
          <w:lang w:val="en-US" w:eastAsia="zh-CN"/>
        </w:rPr>
        <w:t>82.5</w:t>
      </w:r>
      <w:r>
        <w:rPr>
          <w:rFonts w:ascii="方正仿宋_GBK" w:hAnsi="方正仿宋_GBK" w:eastAsia="方正仿宋_GBK" w:cs="方正仿宋_GBK"/>
          <w:b w:val="0"/>
          <w:bCs/>
          <w:sz w:val="32"/>
          <w:szCs w:val="32"/>
          <w:shd w:val="clear" w:color="auto" w:fill="FFFFFF"/>
        </w:rPr>
        <w:t>%，主</w:t>
      </w:r>
      <w:r>
        <w:rPr>
          <w:rFonts w:hint="eastAsia" w:ascii="方正仿宋_GBK" w:hAnsi="方正仿宋_GBK" w:eastAsia="方正仿宋_GBK" w:cs="方正仿宋_GBK"/>
          <w:b w:val="0"/>
          <w:bCs/>
          <w:sz w:val="32"/>
          <w:szCs w:val="32"/>
          <w:shd w:val="clear" w:color="auto" w:fill="FFFFFF"/>
          <w:lang w:eastAsia="zh-CN"/>
        </w:rPr>
        <w:t>要原因是人员支出增加。</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方正仿宋_GBK" w:hAnsi="方正仿宋_GBK" w:eastAsia="方正仿宋_GBK" w:cs="方正仿宋_GBK"/>
          <w:b w:val="0"/>
          <w:bCs/>
          <w:sz w:val="32"/>
          <w:szCs w:val="32"/>
          <w:shd w:val="clear" w:color="auto" w:fill="FFFFFF"/>
          <w:lang w:eastAsia="zh-CN"/>
        </w:rPr>
      </w:pPr>
      <w:r>
        <w:rPr>
          <w:rFonts w:ascii="方正仿宋_GBK" w:hAnsi="方正仿宋_GBK" w:eastAsia="方正仿宋_GBK" w:cs="方正仿宋_GBK"/>
          <w:b w:val="0"/>
          <w:bCs/>
          <w:sz w:val="32"/>
          <w:szCs w:val="32"/>
          <w:shd w:val="clear" w:color="auto" w:fill="FFFFFF"/>
        </w:rPr>
        <w:t>（</w:t>
      </w:r>
      <w:r>
        <w:rPr>
          <w:rFonts w:hint="eastAsia" w:ascii="方正仿宋_GBK" w:hAnsi="方正仿宋_GBK" w:eastAsia="方正仿宋_GBK" w:cs="方正仿宋_GBK"/>
          <w:b w:val="0"/>
          <w:bCs/>
          <w:sz w:val="32"/>
          <w:szCs w:val="32"/>
          <w:shd w:val="clear" w:color="auto" w:fill="FFFFFF"/>
          <w:lang w:val="en-US" w:eastAsia="zh-CN"/>
        </w:rPr>
        <w:t>2</w:t>
      </w:r>
      <w:r>
        <w:rPr>
          <w:rFonts w:ascii="方正仿宋_GBK" w:hAnsi="方正仿宋_GBK" w:eastAsia="方正仿宋_GBK" w:cs="方正仿宋_GBK"/>
          <w:b w:val="0"/>
          <w:bCs/>
          <w:sz w:val="32"/>
          <w:szCs w:val="32"/>
          <w:shd w:val="clear" w:color="auto" w:fill="FFFFFF"/>
        </w:rPr>
        <w:t>）卫生健康支出</w:t>
      </w:r>
      <w:r>
        <w:rPr>
          <w:rFonts w:hint="eastAsia" w:ascii="方正仿宋_GBK" w:hAnsi="方正仿宋_GBK" w:eastAsia="方正仿宋_GBK" w:cs="方正仿宋_GBK"/>
          <w:b w:val="0"/>
          <w:bCs/>
          <w:sz w:val="32"/>
          <w:szCs w:val="32"/>
          <w:shd w:val="clear" w:color="auto" w:fill="FFFFFF"/>
          <w:lang w:val="en-US" w:eastAsia="zh-CN"/>
        </w:rPr>
        <w:t>9.51</w:t>
      </w:r>
      <w:r>
        <w:rPr>
          <w:rFonts w:ascii="方正仿宋_GBK" w:hAnsi="方正仿宋_GBK" w:eastAsia="方正仿宋_GBK" w:cs="方正仿宋_GBK"/>
          <w:b w:val="0"/>
          <w:bCs/>
          <w:sz w:val="32"/>
          <w:szCs w:val="32"/>
          <w:shd w:val="clear" w:color="auto" w:fill="FFFFFF"/>
        </w:rPr>
        <w:t>万元，占</w:t>
      </w:r>
      <w:r>
        <w:rPr>
          <w:rFonts w:hint="eastAsia" w:ascii="方正仿宋_GBK" w:hAnsi="方正仿宋_GBK" w:eastAsia="方正仿宋_GBK" w:cs="方正仿宋_GBK"/>
          <w:b w:val="0"/>
          <w:bCs/>
          <w:sz w:val="32"/>
          <w:szCs w:val="32"/>
          <w:shd w:val="clear" w:color="auto" w:fill="FFFFFF"/>
          <w:lang w:val="en-US" w:eastAsia="zh-CN"/>
        </w:rPr>
        <w:t>4.8</w:t>
      </w:r>
      <w:r>
        <w:rPr>
          <w:rFonts w:ascii="方正仿宋_GBK" w:hAnsi="方正仿宋_GBK" w:eastAsia="方正仿宋_GBK" w:cs="方正仿宋_GBK"/>
          <w:b w:val="0"/>
          <w:bCs/>
          <w:sz w:val="32"/>
          <w:szCs w:val="32"/>
          <w:shd w:val="clear" w:color="auto" w:fill="FFFFFF"/>
        </w:rPr>
        <w:t>%，较年初预算数</w:t>
      </w:r>
      <w:r>
        <w:rPr>
          <w:rFonts w:hint="eastAsia" w:ascii="方正仿宋_GBK" w:hAnsi="方正仿宋_GBK" w:eastAsia="方正仿宋_GBK" w:cs="方正仿宋_GBK"/>
          <w:b w:val="0"/>
          <w:bCs/>
          <w:sz w:val="32"/>
          <w:szCs w:val="32"/>
          <w:shd w:val="clear" w:color="auto" w:fill="FFFFFF"/>
          <w:lang w:eastAsia="zh-CN"/>
        </w:rPr>
        <w:t>增加</w:t>
      </w:r>
      <w:r>
        <w:rPr>
          <w:rFonts w:hint="eastAsia" w:ascii="方正仿宋_GBK" w:hAnsi="方正仿宋_GBK" w:eastAsia="方正仿宋_GBK" w:cs="方正仿宋_GBK"/>
          <w:b w:val="0"/>
          <w:bCs/>
          <w:sz w:val="32"/>
          <w:szCs w:val="32"/>
          <w:shd w:val="clear" w:color="auto" w:fill="FFFFFF"/>
          <w:lang w:val="en-US" w:eastAsia="zh-CN"/>
        </w:rPr>
        <w:t>1.67</w:t>
      </w:r>
      <w:r>
        <w:rPr>
          <w:rFonts w:ascii="方正仿宋_GBK" w:hAnsi="方正仿宋_GBK" w:eastAsia="方正仿宋_GBK" w:cs="方正仿宋_GBK"/>
          <w:b w:val="0"/>
          <w:bCs/>
          <w:sz w:val="32"/>
          <w:szCs w:val="32"/>
          <w:shd w:val="clear" w:color="auto" w:fill="FFFFFF"/>
        </w:rPr>
        <w:t>万元，</w:t>
      </w:r>
      <w:r>
        <w:rPr>
          <w:rFonts w:hint="eastAsia" w:ascii="方正仿宋_GBK" w:hAnsi="方正仿宋_GBK" w:eastAsia="方正仿宋_GBK" w:cs="方正仿宋_GBK"/>
          <w:b w:val="0"/>
          <w:bCs/>
          <w:sz w:val="32"/>
          <w:szCs w:val="32"/>
          <w:shd w:val="clear" w:color="auto" w:fill="FFFFFF"/>
          <w:lang w:eastAsia="zh-CN"/>
        </w:rPr>
        <w:t>增加</w:t>
      </w:r>
      <w:r>
        <w:rPr>
          <w:rFonts w:hint="eastAsia" w:ascii="方正仿宋_GBK" w:hAnsi="方正仿宋_GBK" w:eastAsia="方正仿宋_GBK" w:cs="方正仿宋_GBK"/>
          <w:b w:val="0"/>
          <w:bCs/>
          <w:sz w:val="32"/>
          <w:szCs w:val="32"/>
          <w:shd w:val="clear" w:color="auto" w:fill="FFFFFF"/>
          <w:lang w:val="en-US" w:eastAsia="zh-CN"/>
        </w:rPr>
        <w:t>21.3</w:t>
      </w:r>
      <w:r>
        <w:rPr>
          <w:rFonts w:ascii="方正仿宋_GBK" w:hAnsi="方正仿宋_GBK" w:eastAsia="方正仿宋_GBK" w:cs="方正仿宋_GBK"/>
          <w:b w:val="0"/>
          <w:bCs/>
          <w:sz w:val="32"/>
          <w:szCs w:val="32"/>
          <w:shd w:val="clear" w:color="auto" w:fill="FFFFFF"/>
        </w:rPr>
        <w:t>%，主</w:t>
      </w:r>
      <w:r>
        <w:rPr>
          <w:rFonts w:hint="eastAsia" w:ascii="方正仿宋_GBK" w:hAnsi="方正仿宋_GBK" w:eastAsia="方正仿宋_GBK" w:cs="方正仿宋_GBK"/>
          <w:b w:val="0"/>
          <w:bCs/>
          <w:sz w:val="32"/>
          <w:szCs w:val="32"/>
          <w:shd w:val="clear" w:color="auto" w:fill="FFFFFF"/>
          <w:lang w:eastAsia="zh-CN"/>
        </w:rPr>
        <w:t>要原因是人员医疗保险支出增加。</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eastAsia" w:ascii="方正仿宋_GBK" w:hAnsi="方正仿宋_GBK" w:eastAsia="方正仿宋_GBK" w:cs="方正仿宋_GBK"/>
          <w:b w:val="0"/>
          <w:bCs/>
          <w:sz w:val="32"/>
          <w:szCs w:val="32"/>
          <w:shd w:val="clear" w:color="auto" w:fill="FFFFFF"/>
          <w:lang w:eastAsia="zh-CN"/>
        </w:rPr>
      </w:pPr>
      <w:r>
        <w:rPr>
          <w:rFonts w:ascii="方正仿宋_GBK" w:hAnsi="方正仿宋_GBK" w:eastAsia="方正仿宋_GBK" w:cs="方正仿宋_GBK"/>
          <w:b w:val="0"/>
          <w:bCs/>
          <w:sz w:val="32"/>
          <w:szCs w:val="32"/>
          <w:shd w:val="clear" w:color="auto" w:fill="FFFFFF"/>
        </w:rPr>
        <w:t>（</w:t>
      </w:r>
      <w:r>
        <w:rPr>
          <w:rFonts w:hint="eastAsia" w:ascii="方正仿宋_GBK" w:hAnsi="方正仿宋_GBK" w:eastAsia="方正仿宋_GBK" w:cs="方正仿宋_GBK"/>
          <w:b w:val="0"/>
          <w:bCs/>
          <w:sz w:val="32"/>
          <w:szCs w:val="32"/>
          <w:shd w:val="clear" w:color="auto" w:fill="FFFFFF"/>
          <w:lang w:val="en-US" w:eastAsia="zh-CN"/>
        </w:rPr>
        <w:t>3</w:t>
      </w:r>
      <w:r>
        <w:rPr>
          <w:rFonts w:ascii="方正仿宋_GBK" w:hAnsi="方正仿宋_GBK" w:eastAsia="方正仿宋_GBK" w:cs="方正仿宋_GBK"/>
          <w:b w:val="0"/>
          <w:bCs/>
          <w:sz w:val="32"/>
          <w:szCs w:val="32"/>
          <w:shd w:val="clear" w:color="auto" w:fill="FFFFFF"/>
        </w:rPr>
        <w:t>）</w:t>
      </w:r>
      <w:r>
        <w:rPr>
          <w:rFonts w:hint="eastAsia" w:ascii="方正仿宋_GBK" w:hAnsi="方正仿宋_GBK" w:eastAsia="方正仿宋_GBK" w:cs="方正仿宋_GBK"/>
          <w:b w:val="0"/>
          <w:bCs/>
          <w:sz w:val="32"/>
          <w:szCs w:val="32"/>
          <w:shd w:val="clear" w:color="auto" w:fill="FFFFFF"/>
          <w:lang w:eastAsia="zh-CN"/>
        </w:rPr>
        <w:t>城乡社区</w:t>
      </w:r>
      <w:r>
        <w:rPr>
          <w:rFonts w:ascii="方正仿宋_GBK" w:hAnsi="方正仿宋_GBK" w:eastAsia="方正仿宋_GBK" w:cs="方正仿宋_GBK"/>
          <w:b w:val="0"/>
          <w:bCs/>
          <w:sz w:val="32"/>
          <w:szCs w:val="32"/>
          <w:shd w:val="clear" w:color="auto" w:fill="FFFFFF"/>
        </w:rPr>
        <w:t>支出</w:t>
      </w:r>
      <w:r>
        <w:rPr>
          <w:rFonts w:hint="eastAsia" w:ascii="方正仿宋_GBK" w:hAnsi="方正仿宋_GBK" w:eastAsia="方正仿宋_GBK" w:cs="方正仿宋_GBK"/>
          <w:b w:val="0"/>
          <w:bCs/>
          <w:sz w:val="32"/>
          <w:szCs w:val="32"/>
          <w:shd w:val="clear" w:color="auto" w:fill="FFFFFF"/>
          <w:lang w:val="en-US" w:eastAsia="zh-CN"/>
        </w:rPr>
        <w:t>145.5</w:t>
      </w:r>
      <w:r>
        <w:rPr>
          <w:rFonts w:ascii="方正仿宋_GBK" w:hAnsi="方正仿宋_GBK" w:eastAsia="方正仿宋_GBK" w:cs="方正仿宋_GBK"/>
          <w:b w:val="0"/>
          <w:bCs/>
          <w:sz w:val="32"/>
          <w:szCs w:val="32"/>
          <w:shd w:val="clear" w:color="auto" w:fill="FFFFFF"/>
        </w:rPr>
        <w:t>万元，占</w:t>
      </w:r>
      <w:r>
        <w:rPr>
          <w:rFonts w:hint="eastAsia" w:ascii="方正仿宋_GBK" w:hAnsi="方正仿宋_GBK" w:eastAsia="方正仿宋_GBK" w:cs="方正仿宋_GBK"/>
          <w:b w:val="0"/>
          <w:bCs/>
          <w:sz w:val="32"/>
          <w:szCs w:val="32"/>
          <w:shd w:val="clear" w:color="auto" w:fill="FFFFFF"/>
          <w:lang w:val="en-US" w:eastAsia="zh-CN"/>
        </w:rPr>
        <w:t>73.48</w:t>
      </w:r>
      <w:r>
        <w:rPr>
          <w:rFonts w:ascii="方正仿宋_GBK" w:hAnsi="方正仿宋_GBK" w:eastAsia="方正仿宋_GBK" w:cs="方正仿宋_GBK"/>
          <w:b w:val="0"/>
          <w:bCs/>
          <w:sz w:val="32"/>
          <w:szCs w:val="32"/>
          <w:shd w:val="clear" w:color="auto" w:fill="FFFFFF"/>
        </w:rPr>
        <w:t>%，较年初预算数</w:t>
      </w:r>
      <w:r>
        <w:rPr>
          <w:rFonts w:hint="eastAsia" w:ascii="方正仿宋_GBK" w:hAnsi="方正仿宋_GBK" w:eastAsia="方正仿宋_GBK" w:cs="方正仿宋_GBK"/>
          <w:b w:val="0"/>
          <w:bCs/>
          <w:sz w:val="32"/>
          <w:szCs w:val="32"/>
          <w:shd w:val="clear" w:color="auto" w:fill="FFFFFF"/>
          <w:lang w:eastAsia="zh-CN"/>
        </w:rPr>
        <w:t>增加</w:t>
      </w:r>
      <w:r>
        <w:rPr>
          <w:rFonts w:hint="eastAsia" w:ascii="方正仿宋_GBK" w:hAnsi="方正仿宋_GBK" w:eastAsia="方正仿宋_GBK" w:cs="方正仿宋_GBK"/>
          <w:b w:val="0"/>
          <w:bCs/>
          <w:sz w:val="32"/>
          <w:szCs w:val="32"/>
          <w:shd w:val="clear" w:color="auto" w:fill="FFFFFF"/>
          <w:lang w:val="en-US" w:eastAsia="zh-CN"/>
        </w:rPr>
        <w:t>6.76</w:t>
      </w:r>
      <w:r>
        <w:rPr>
          <w:rFonts w:ascii="方正仿宋_GBK" w:hAnsi="方正仿宋_GBK" w:eastAsia="方正仿宋_GBK" w:cs="方正仿宋_GBK"/>
          <w:b w:val="0"/>
          <w:bCs/>
          <w:sz w:val="32"/>
          <w:szCs w:val="32"/>
          <w:shd w:val="clear" w:color="auto" w:fill="FFFFFF"/>
        </w:rPr>
        <w:t>万元，</w:t>
      </w:r>
      <w:r>
        <w:rPr>
          <w:rFonts w:hint="eastAsia" w:ascii="方正仿宋_GBK" w:hAnsi="方正仿宋_GBK" w:eastAsia="方正仿宋_GBK" w:cs="方正仿宋_GBK"/>
          <w:b w:val="0"/>
          <w:bCs/>
          <w:sz w:val="32"/>
          <w:szCs w:val="32"/>
          <w:shd w:val="clear" w:color="auto" w:fill="FFFFFF"/>
          <w:lang w:eastAsia="zh-CN"/>
        </w:rPr>
        <w:t>增加</w:t>
      </w:r>
      <w:r>
        <w:rPr>
          <w:rFonts w:hint="eastAsia" w:ascii="方正仿宋_GBK" w:hAnsi="方正仿宋_GBK" w:eastAsia="方正仿宋_GBK" w:cs="方正仿宋_GBK"/>
          <w:b w:val="0"/>
          <w:bCs/>
          <w:sz w:val="32"/>
          <w:szCs w:val="32"/>
          <w:shd w:val="clear" w:color="auto" w:fill="FFFFFF"/>
          <w:lang w:val="en-US" w:eastAsia="zh-CN"/>
        </w:rPr>
        <w:t>4.87</w:t>
      </w:r>
      <w:r>
        <w:rPr>
          <w:rFonts w:ascii="方正仿宋_GBK" w:hAnsi="方正仿宋_GBK" w:eastAsia="方正仿宋_GBK" w:cs="方正仿宋_GBK"/>
          <w:b w:val="0"/>
          <w:bCs/>
          <w:sz w:val="32"/>
          <w:szCs w:val="32"/>
          <w:shd w:val="clear" w:color="auto" w:fill="FFFFFF"/>
        </w:rPr>
        <w:t>%，主</w:t>
      </w:r>
      <w:r>
        <w:rPr>
          <w:rFonts w:hint="eastAsia" w:ascii="方正仿宋_GBK" w:hAnsi="方正仿宋_GBK" w:eastAsia="方正仿宋_GBK" w:cs="方正仿宋_GBK"/>
          <w:b w:val="0"/>
          <w:bCs/>
          <w:sz w:val="32"/>
          <w:szCs w:val="32"/>
          <w:shd w:val="clear" w:color="auto" w:fill="FFFFFF"/>
          <w:lang w:eastAsia="zh-CN"/>
        </w:rPr>
        <w:t>要原因是人员经费支出增加。</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eastAsia" w:ascii="方正仿宋_GBK" w:hAnsi="方正仿宋_GBK" w:eastAsia="方正仿宋_GBK" w:cs="方正仿宋_GBK"/>
          <w:b w:val="0"/>
          <w:bCs/>
          <w:sz w:val="32"/>
          <w:szCs w:val="32"/>
          <w:shd w:val="clear" w:color="auto" w:fill="FFFFFF"/>
          <w:lang w:eastAsia="zh-CN"/>
        </w:rPr>
      </w:pPr>
      <w:r>
        <w:rPr>
          <w:rFonts w:ascii="方正仿宋_GBK" w:hAnsi="方正仿宋_GBK" w:eastAsia="方正仿宋_GBK" w:cs="方正仿宋_GBK"/>
          <w:b w:val="0"/>
          <w:bCs/>
          <w:sz w:val="32"/>
          <w:szCs w:val="32"/>
          <w:shd w:val="clear" w:color="auto" w:fill="FFFFFF"/>
        </w:rPr>
        <w:t>（</w:t>
      </w:r>
      <w:r>
        <w:rPr>
          <w:rFonts w:hint="eastAsia" w:ascii="方正仿宋_GBK" w:hAnsi="方正仿宋_GBK" w:eastAsia="方正仿宋_GBK" w:cs="方正仿宋_GBK"/>
          <w:b w:val="0"/>
          <w:bCs/>
          <w:sz w:val="32"/>
          <w:szCs w:val="32"/>
          <w:shd w:val="clear" w:color="auto" w:fill="FFFFFF"/>
          <w:lang w:val="en-US" w:eastAsia="zh-CN"/>
        </w:rPr>
        <w:t>4</w:t>
      </w:r>
      <w:r>
        <w:rPr>
          <w:rFonts w:ascii="方正仿宋_GBK" w:hAnsi="方正仿宋_GBK" w:eastAsia="方正仿宋_GBK" w:cs="方正仿宋_GBK"/>
          <w:b w:val="0"/>
          <w:bCs/>
          <w:sz w:val="32"/>
          <w:szCs w:val="32"/>
          <w:shd w:val="clear" w:color="auto" w:fill="FFFFFF"/>
        </w:rPr>
        <w:t>）住房保障支出</w:t>
      </w:r>
      <w:r>
        <w:rPr>
          <w:rFonts w:hint="eastAsia" w:ascii="方正仿宋_GBK" w:hAnsi="方正仿宋_GBK" w:eastAsia="方正仿宋_GBK" w:cs="方正仿宋_GBK"/>
          <w:b w:val="0"/>
          <w:bCs/>
          <w:sz w:val="32"/>
          <w:szCs w:val="32"/>
          <w:shd w:val="clear" w:color="auto" w:fill="FFFFFF"/>
          <w:lang w:val="en-US" w:eastAsia="zh-CN"/>
        </w:rPr>
        <w:t>7.17</w:t>
      </w:r>
      <w:r>
        <w:rPr>
          <w:rFonts w:ascii="方正仿宋_GBK" w:hAnsi="方正仿宋_GBK" w:eastAsia="方正仿宋_GBK" w:cs="方正仿宋_GBK"/>
          <w:b w:val="0"/>
          <w:bCs/>
          <w:sz w:val="32"/>
          <w:szCs w:val="32"/>
          <w:shd w:val="clear" w:color="auto" w:fill="FFFFFF"/>
        </w:rPr>
        <w:t>万元，占</w:t>
      </w:r>
      <w:r>
        <w:rPr>
          <w:rFonts w:hint="eastAsia" w:ascii="方正仿宋_GBK" w:hAnsi="方正仿宋_GBK" w:eastAsia="方正仿宋_GBK" w:cs="方正仿宋_GBK"/>
          <w:b w:val="0"/>
          <w:bCs/>
          <w:sz w:val="32"/>
          <w:szCs w:val="32"/>
          <w:shd w:val="clear" w:color="auto" w:fill="FFFFFF"/>
          <w:lang w:val="en-US" w:eastAsia="zh-CN"/>
        </w:rPr>
        <w:t>3.62</w:t>
      </w:r>
      <w:r>
        <w:rPr>
          <w:rFonts w:ascii="方正仿宋_GBK" w:hAnsi="方正仿宋_GBK" w:eastAsia="方正仿宋_GBK" w:cs="方正仿宋_GBK"/>
          <w:b w:val="0"/>
          <w:bCs/>
          <w:sz w:val="32"/>
          <w:szCs w:val="32"/>
          <w:shd w:val="clear" w:color="auto" w:fill="FFFFFF"/>
        </w:rPr>
        <w:t>%，</w:t>
      </w:r>
      <w:r>
        <w:rPr>
          <w:rFonts w:hint="eastAsia" w:ascii="方正仿宋_GBK" w:hAnsi="方正仿宋_GBK" w:eastAsia="方正仿宋_GBK" w:cs="方正仿宋_GBK"/>
          <w:b w:val="0"/>
          <w:bCs/>
          <w:sz w:val="32"/>
          <w:szCs w:val="32"/>
          <w:shd w:val="clear" w:color="auto" w:fill="FFFFFF"/>
          <w:lang w:eastAsia="zh-CN"/>
        </w:rPr>
        <w:t>和年初预算数一致。</w:t>
      </w:r>
    </w:p>
    <w:p>
      <w:pPr>
        <w:pStyle w:val="11"/>
        <w:keepNext w:val="0"/>
        <w:keepLines w:val="0"/>
        <w:pageBreakBefore w:val="0"/>
        <w:kinsoku/>
        <w:wordWrap/>
        <w:overflowPunct/>
        <w:topLinePunct w:val="0"/>
        <w:autoSpaceDE w:val="0"/>
        <w:autoSpaceDN/>
        <w:bidi w:val="0"/>
        <w:adjustRightInd/>
        <w:snapToGrid/>
        <w:spacing w:beforeAutospacing="0" w:afterAutospacing="0" w:line="600" w:lineRule="exact"/>
        <w:ind w:firstLine="643"/>
        <w:textAlignment w:val="auto"/>
        <w:rPr>
          <w:rFonts w:ascii="楷体" w:hAnsi="楷体" w:eastAsia="楷体" w:cs="楷体"/>
          <w:b w:val="0"/>
          <w:bCs/>
          <w:sz w:val="32"/>
          <w:szCs w:val="32"/>
          <w:shd w:val="clear" w:color="auto" w:fill="FFFFFF"/>
        </w:rPr>
      </w:pPr>
      <w:r>
        <w:rPr>
          <w:rFonts w:hint="eastAsia" w:ascii="楷体" w:hAnsi="楷体" w:eastAsia="楷体" w:cs="楷体"/>
          <w:b w:val="0"/>
          <w:bCs/>
          <w:sz w:val="32"/>
          <w:szCs w:val="32"/>
          <w:shd w:val="clear" w:color="auto" w:fill="FFFFFF"/>
        </w:rPr>
        <w:t>（四）一般公共预算财政拨款基本支出决算情况说明</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sz w:val="32"/>
          <w:szCs w:val="32"/>
          <w:shd w:val="clear" w:color="auto" w:fill="FFFFFF"/>
          <w:lang w:val="en-US" w:eastAsia="zh-CN" w:bidi="ar-SA"/>
        </w:rPr>
      </w:pPr>
      <w:r>
        <w:rPr>
          <w:rFonts w:ascii="方正仿宋_GBK" w:hAnsi="方正仿宋_GBK" w:eastAsia="方正仿宋_GBK" w:cs="方正仿宋_GBK"/>
          <w:b w:val="0"/>
          <w:bCs/>
          <w:sz w:val="32"/>
          <w:szCs w:val="32"/>
          <w:shd w:val="clear" w:color="auto" w:fill="FFFFFF"/>
        </w:rPr>
        <w:t>202</w:t>
      </w:r>
      <w:r>
        <w:rPr>
          <w:rFonts w:hint="eastAsia" w:ascii="方正仿宋_GBK" w:hAnsi="方正仿宋_GBK" w:eastAsia="方正仿宋_GBK" w:cs="方正仿宋_GBK"/>
          <w:b w:val="0"/>
          <w:bCs/>
          <w:sz w:val="32"/>
          <w:szCs w:val="32"/>
          <w:shd w:val="clear" w:color="auto" w:fill="FFFFFF"/>
          <w:lang w:val="en-US" w:eastAsia="zh-CN"/>
        </w:rPr>
        <w:t>4</w:t>
      </w:r>
      <w:r>
        <w:rPr>
          <w:rFonts w:ascii="方正仿宋_GBK" w:hAnsi="方正仿宋_GBK" w:eastAsia="方正仿宋_GBK" w:cs="方正仿宋_GBK"/>
          <w:b w:val="0"/>
          <w:bCs/>
          <w:sz w:val="32"/>
          <w:szCs w:val="32"/>
          <w:shd w:val="clear" w:color="auto" w:fill="FFFFFF"/>
        </w:rPr>
        <w:t>年度一般公共财政拨款基本支出</w:t>
      </w:r>
      <w:r>
        <w:rPr>
          <w:rFonts w:hint="eastAsia" w:ascii="方正仿宋_GBK" w:hAnsi="方正仿宋_GBK" w:eastAsia="方正仿宋_GBK" w:cs="方正仿宋_GBK"/>
          <w:b w:val="0"/>
          <w:bCs/>
          <w:sz w:val="32"/>
          <w:szCs w:val="32"/>
          <w:shd w:val="clear" w:color="auto" w:fill="FFFFFF"/>
          <w:lang w:val="en-US" w:eastAsia="zh-CN"/>
        </w:rPr>
        <w:t>192.81</w:t>
      </w:r>
      <w:r>
        <w:rPr>
          <w:rFonts w:ascii="方正仿宋_GBK" w:hAnsi="方正仿宋_GBK" w:eastAsia="方正仿宋_GBK" w:cs="方正仿宋_GBK"/>
          <w:b w:val="0"/>
          <w:bCs/>
          <w:sz w:val="32"/>
          <w:szCs w:val="32"/>
          <w:shd w:val="clear" w:color="auto" w:fill="FFFFFF"/>
        </w:rPr>
        <w:t>万元。其中：人员经费</w:t>
      </w:r>
      <w:r>
        <w:rPr>
          <w:rFonts w:hint="eastAsia" w:ascii="方正仿宋_GBK" w:hAnsi="方正仿宋_GBK" w:eastAsia="方正仿宋_GBK" w:cs="方正仿宋_GBK"/>
          <w:b w:val="0"/>
          <w:bCs/>
          <w:sz w:val="32"/>
          <w:szCs w:val="32"/>
          <w:shd w:val="clear" w:color="auto" w:fill="FFFFFF"/>
          <w:lang w:val="en-US" w:eastAsia="zh-CN"/>
        </w:rPr>
        <w:t>154.49</w:t>
      </w:r>
      <w:r>
        <w:rPr>
          <w:rFonts w:ascii="方正仿宋_GBK" w:hAnsi="方正仿宋_GBK" w:eastAsia="方正仿宋_GBK" w:cs="方正仿宋_GBK"/>
          <w:b w:val="0"/>
          <w:bCs/>
          <w:sz w:val="32"/>
          <w:szCs w:val="32"/>
          <w:shd w:val="clear" w:color="auto" w:fill="FFFFFF"/>
        </w:rPr>
        <w:t>万元，较上年决算数</w:t>
      </w:r>
      <w:r>
        <w:rPr>
          <w:rFonts w:hint="eastAsia" w:ascii="方正仿宋_GBK" w:hAnsi="方正仿宋_GBK" w:eastAsia="方正仿宋_GBK" w:cs="方正仿宋_GBK"/>
          <w:b w:val="0"/>
          <w:bCs/>
          <w:sz w:val="32"/>
          <w:szCs w:val="32"/>
          <w:shd w:val="clear" w:color="auto" w:fill="FFFFFF"/>
          <w:lang w:eastAsia="zh-CN"/>
        </w:rPr>
        <w:t>增加</w:t>
      </w:r>
      <w:r>
        <w:rPr>
          <w:rFonts w:hint="eastAsia" w:ascii="方正仿宋_GBK" w:hAnsi="方正仿宋_GBK" w:eastAsia="方正仿宋_GBK" w:cs="方正仿宋_GBK"/>
          <w:b w:val="0"/>
          <w:bCs/>
          <w:sz w:val="32"/>
          <w:szCs w:val="32"/>
          <w:shd w:val="clear" w:color="auto" w:fill="FFFFFF"/>
          <w:lang w:val="en-US" w:eastAsia="zh-CN"/>
        </w:rPr>
        <w:t>27.1</w:t>
      </w:r>
      <w:r>
        <w:rPr>
          <w:rFonts w:ascii="方正仿宋_GBK" w:hAnsi="方正仿宋_GBK" w:eastAsia="方正仿宋_GBK" w:cs="方正仿宋_GBK"/>
          <w:b w:val="0"/>
          <w:bCs/>
          <w:sz w:val="32"/>
          <w:szCs w:val="32"/>
          <w:shd w:val="clear" w:color="auto" w:fill="FFFFFF"/>
        </w:rPr>
        <w:t>万元，</w:t>
      </w:r>
      <w:r>
        <w:rPr>
          <w:rFonts w:hint="eastAsia" w:ascii="方正仿宋_GBK" w:hAnsi="方正仿宋_GBK" w:eastAsia="方正仿宋_GBK" w:cs="方正仿宋_GBK"/>
          <w:b w:val="0"/>
          <w:bCs/>
          <w:sz w:val="32"/>
          <w:szCs w:val="32"/>
          <w:shd w:val="clear" w:color="auto" w:fill="FFFFFF"/>
          <w:lang w:eastAsia="zh-CN"/>
        </w:rPr>
        <w:t>增加</w:t>
      </w:r>
      <w:r>
        <w:rPr>
          <w:rFonts w:hint="eastAsia" w:ascii="方正仿宋_GBK" w:hAnsi="方正仿宋_GBK" w:eastAsia="方正仿宋_GBK" w:cs="方正仿宋_GBK"/>
          <w:b w:val="0"/>
          <w:bCs/>
          <w:sz w:val="32"/>
          <w:szCs w:val="32"/>
          <w:shd w:val="clear" w:color="auto" w:fill="FFFFFF"/>
          <w:lang w:val="en-US" w:eastAsia="zh-CN"/>
        </w:rPr>
        <w:t>21.27</w:t>
      </w:r>
      <w:r>
        <w:rPr>
          <w:rFonts w:ascii="方正仿宋_GBK" w:hAnsi="方正仿宋_GBK" w:eastAsia="方正仿宋_GBK" w:cs="方正仿宋_GBK"/>
          <w:b w:val="0"/>
          <w:bCs/>
          <w:sz w:val="32"/>
          <w:szCs w:val="32"/>
          <w:shd w:val="clear" w:color="auto" w:fill="FFFFFF"/>
        </w:rPr>
        <w:t>%，主</w:t>
      </w:r>
      <w:r>
        <w:rPr>
          <w:rFonts w:hint="eastAsia" w:ascii="方正仿宋_GBK" w:hAnsi="方正仿宋_GBK" w:eastAsia="方正仿宋_GBK" w:cs="方正仿宋_GBK"/>
          <w:b w:val="0"/>
          <w:bCs/>
          <w:sz w:val="32"/>
          <w:szCs w:val="32"/>
          <w:shd w:val="clear" w:color="auto" w:fill="FFFFFF"/>
          <w:lang w:eastAsia="zh-CN"/>
        </w:rPr>
        <w:t>要原因是人员支出增加。</w:t>
      </w:r>
      <w:r>
        <w:rPr>
          <w:rFonts w:hint="eastAsia" w:ascii="方正仿宋_GBK" w:hAnsi="方正仿宋_GBK" w:eastAsia="方正仿宋_GBK" w:cs="方正仿宋_GBK"/>
          <w:b w:val="0"/>
          <w:bCs/>
          <w:sz w:val="32"/>
          <w:szCs w:val="32"/>
          <w:shd w:val="clear" w:color="auto" w:fill="FFFFFF"/>
        </w:rPr>
        <w:t>人员经费用途主要包括</w:t>
      </w:r>
      <w:r>
        <w:rPr>
          <w:rFonts w:hint="eastAsia" w:ascii="方正仿宋_GBK" w:hAnsi="方正仿宋_GBK" w:eastAsia="方正仿宋_GBK" w:cs="方正仿宋_GBK"/>
          <w:b w:val="0"/>
          <w:bCs/>
          <w:color w:val="000000"/>
          <w:sz w:val="32"/>
          <w:szCs w:val="32"/>
          <w:highlight w:val="none"/>
        </w:rPr>
        <w:t>主要用于</w:t>
      </w:r>
      <w:r>
        <w:rPr>
          <w:rFonts w:hint="eastAsia" w:ascii="方正仿宋_GBK" w:hAnsi="方正仿宋_GBK" w:eastAsia="方正仿宋_GBK" w:cs="方正仿宋_GBK"/>
          <w:b w:val="0"/>
          <w:bCs/>
          <w:color w:val="000000"/>
          <w:sz w:val="32"/>
          <w:szCs w:val="32"/>
          <w:highlight w:val="none"/>
          <w:lang w:eastAsia="zh-CN"/>
        </w:rPr>
        <w:t>单位开支的在职职工的各类</w:t>
      </w:r>
      <w:r>
        <w:rPr>
          <w:rFonts w:hint="eastAsia" w:ascii="方正仿宋_GBK" w:hAnsi="方正仿宋_GBK" w:eastAsia="方正仿宋_GBK" w:cs="方正仿宋_GBK"/>
          <w:b w:val="0"/>
          <w:bCs/>
          <w:sz w:val="32"/>
          <w:szCs w:val="32"/>
          <w:shd w:val="clear" w:color="auto" w:fill="FFFFFF"/>
          <w:lang w:val="en-US" w:eastAsia="zh-CN" w:bidi="ar-SA"/>
        </w:rPr>
        <w:t>劳动报酬及社保、公积金缴纳，退休人员支出等。公用经费32.6万元，较上年决算数增加18.72万元，主要原因是差旅费、委托业务费、电费增加。公用经费用途主要包括办公费、邮电通讯费、水电费、交通费用、工会经费等。</w:t>
      </w:r>
    </w:p>
    <w:p>
      <w:pPr>
        <w:pStyle w:val="11"/>
        <w:keepNext w:val="0"/>
        <w:keepLines w:val="0"/>
        <w:pageBreakBefore w:val="0"/>
        <w:kinsoku/>
        <w:wordWrap/>
        <w:overflowPunct/>
        <w:topLinePunct w:val="0"/>
        <w:autoSpaceDE w:val="0"/>
        <w:autoSpaceDN/>
        <w:bidi w:val="0"/>
        <w:adjustRightInd/>
        <w:snapToGrid/>
        <w:spacing w:beforeAutospacing="0" w:afterAutospacing="0" w:line="600" w:lineRule="exact"/>
        <w:ind w:firstLine="643"/>
        <w:textAlignment w:val="auto"/>
        <w:rPr>
          <w:rFonts w:ascii="楷体" w:hAnsi="楷体" w:eastAsia="楷体" w:cs="楷体"/>
          <w:b w:val="0"/>
          <w:bCs/>
          <w:sz w:val="32"/>
          <w:szCs w:val="32"/>
          <w:shd w:val="clear" w:color="auto" w:fill="FFFFFF"/>
        </w:rPr>
      </w:pPr>
      <w:r>
        <w:rPr>
          <w:rFonts w:hint="eastAsia" w:ascii="楷体" w:hAnsi="楷体" w:eastAsia="楷体" w:cs="楷体"/>
          <w:b w:val="0"/>
          <w:bCs/>
          <w:sz w:val="32"/>
          <w:szCs w:val="32"/>
          <w:shd w:val="clear" w:color="auto" w:fill="FFFFFF"/>
        </w:rPr>
        <w:t>（五）政府性基金预算收支决算情况说明</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eastAsia" w:ascii="方正仿宋_GBK" w:hAnsi="方正仿宋_GBK" w:eastAsia="方正仿宋_GBK" w:cs="方正仿宋_GBK"/>
          <w:b w:val="0"/>
          <w:bCs/>
          <w:sz w:val="32"/>
          <w:szCs w:val="32"/>
          <w:shd w:val="clear" w:color="auto" w:fill="FFFFFF"/>
          <w:lang w:val="en-US" w:eastAsia="zh-CN" w:bidi="ar-SA"/>
        </w:rPr>
      </w:pPr>
      <w:r>
        <w:rPr>
          <w:rFonts w:ascii="方正仿宋_GBK" w:hAnsi="方正仿宋_GBK" w:eastAsia="方正仿宋_GBK" w:cs="方正仿宋_GBK"/>
          <w:b w:val="0"/>
          <w:bCs/>
          <w:sz w:val="32"/>
          <w:szCs w:val="32"/>
          <w:shd w:val="clear" w:color="auto" w:fill="FFFFFF"/>
        </w:rPr>
        <w:t>202</w:t>
      </w:r>
      <w:r>
        <w:rPr>
          <w:rFonts w:hint="eastAsia" w:ascii="方正仿宋_GBK" w:hAnsi="方正仿宋_GBK" w:eastAsia="方正仿宋_GBK" w:cs="方正仿宋_GBK"/>
          <w:b w:val="0"/>
          <w:bCs/>
          <w:sz w:val="32"/>
          <w:szCs w:val="32"/>
          <w:shd w:val="clear" w:color="auto" w:fill="FFFFFF"/>
          <w:lang w:val="en-US" w:eastAsia="zh-CN"/>
        </w:rPr>
        <w:t>4</w:t>
      </w:r>
      <w:r>
        <w:rPr>
          <w:rFonts w:ascii="方正仿宋_GBK" w:hAnsi="方正仿宋_GBK" w:eastAsia="方正仿宋_GBK" w:cs="方正仿宋_GBK"/>
          <w:b w:val="0"/>
          <w:bCs/>
          <w:sz w:val="32"/>
          <w:szCs w:val="32"/>
          <w:shd w:val="clear" w:color="auto" w:fill="FFFFFF"/>
        </w:rPr>
        <w:t>年度政府性基金预算财政拨款年初结转结余</w:t>
      </w:r>
      <w:r>
        <w:rPr>
          <w:rFonts w:ascii="方正仿宋_GBK" w:hAnsi="方正仿宋_GBK" w:eastAsia="方正仿宋_GBK" w:cs="方正仿宋_GBK"/>
          <w:b w:val="0"/>
          <w:bCs/>
          <w:sz w:val="32"/>
          <w:szCs w:val="32"/>
        </w:rPr>
        <w:t>0.00</w:t>
      </w:r>
      <w:r>
        <w:rPr>
          <w:rFonts w:ascii="方正仿宋_GBK" w:hAnsi="方正仿宋_GBK" w:eastAsia="方正仿宋_GBK" w:cs="方正仿宋_GBK"/>
          <w:b w:val="0"/>
          <w:bCs/>
          <w:sz w:val="32"/>
          <w:szCs w:val="32"/>
          <w:shd w:val="clear" w:color="auto" w:fill="FFFFFF"/>
        </w:rPr>
        <w:t>万元，年末结转结余</w:t>
      </w:r>
      <w:r>
        <w:rPr>
          <w:rFonts w:hint="eastAsia" w:ascii="方正仿宋_GBK" w:hAnsi="方正仿宋_GBK" w:eastAsia="方正仿宋_GBK" w:cs="方正仿宋_GBK"/>
          <w:b w:val="0"/>
          <w:bCs/>
          <w:sz w:val="32"/>
          <w:szCs w:val="32"/>
          <w:shd w:val="clear" w:color="auto" w:fill="FFFFFF"/>
          <w:lang w:val="en-US" w:eastAsia="zh-CN" w:bidi="ar-SA"/>
        </w:rPr>
        <w:t>0.00万元。本年收入0.00万元，较上年决算数增加0.00万元，本年支出0.00万元，。</w:t>
      </w:r>
    </w:p>
    <w:p>
      <w:pPr>
        <w:pStyle w:val="11"/>
        <w:keepNext w:val="0"/>
        <w:keepLines w:val="0"/>
        <w:pageBreakBefore w:val="0"/>
        <w:kinsoku/>
        <w:wordWrap/>
        <w:overflowPunct/>
        <w:topLinePunct w:val="0"/>
        <w:autoSpaceDE w:val="0"/>
        <w:autoSpaceDN/>
        <w:bidi w:val="0"/>
        <w:adjustRightInd/>
        <w:snapToGrid/>
        <w:spacing w:beforeAutospacing="0" w:afterAutospacing="0" w:line="600" w:lineRule="exact"/>
        <w:ind w:firstLine="643"/>
        <w:textAlignment w:val="auto"/>
        <w:rPr>
          <w:rFonts w:ascii="楷体" w:hAnsi="楷体" w:eastAsia="楷体" w:cs="楷体"/>
          <w:b w:val="0"/>
          <w:bCs/>
          <w:sz w:val="32"/>
          <w:szCs w:val="32"/>
          <w:shd w:val="clear" w:color="auto" w:fill="FFFFFF"/>
        </w:rPr>
      </w:pPr>
      <w:r>
        <w:rPr>
          <w:rFonts w:hint="eastAsia" w:ascii="楷体" w:hAnsi="楷体" w:eastAsia="楷体" w:cs="楷体"/>
          <w:b w:val="0"/>
          <w:bCs/>
          <w:sz w:val="32"/>
          <w:szCs w:val="32"/>
          <w:shd w:val="clear" w:color="auto" w:fill="FFFFFF"/>
        </w:rPr>
        <w:t>（六）国有资本经营预算财政拨款支出决算情况说明</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sz w:val="32"/>
          <w:szCs w:val="32"/>
          <w:shd w:val="clear" w:color="auto" w:fill="FFFFFF"/>
          <w:lang w:val="en-US" w:eastAsia="zh-CN" w:bidi="ar-SA"/>
        </w:rPr>
      </w:pPr>
      <w:r>
        <w:rPr>
          <w:rFonts w:hint="eastAsia" w:ascii="方正仿宋_GBK" w:hAnsi="方正仿宋_GBK" w:eastAsia="方正仿宋_GBK" w:cs="方正仿宋_GBK"/>
          <w:b w:val="0"/>
          <w:bCs/>
          <w:sz w:val="32"/>
          <w:szCs w:val="32"/>
          <w:shd w:val="clear" w:color="auto" w:fill="FFFFFF"/>
          <w:lang w:val="en-US" w:eastAsia="zh-CN" w:bidi="ar-SA"/>
        </w:rPr>
        <w:t>本单位2024年度无国有资本经营预算财政拨款支出。</w:t>
      </w:r>
    </w:p>
    <w:p>
      <w:pPr>
        <w:pStyle w:val="6"/>
        <w:keepNext w:val="0"/>
        <w:keepLines w:val="0"/>
        <w:pageBreakBefore w:val="0"/>
        <w:shd w:val="clear" w:color="auto" w:fill="FFFFFF"/>
        <w:kinsoku/>
        <w:wordWrap/>
        <w:overflowPunct/>
        <w:topLinePunct w:val="0"/>
        <w:autoSpaceDN/>
        <w:bidi w:val="0"/>
        <w:adjustRightInd/>
        <w:snapToGrid/>
        <w:spacing w:before="0" w:beforeAutospacing="0" w:after="0" w:afterAutospacing="0" w:line="600" w:lineRule="exact"/>
        <w:ind w:firstLine="640" w:firstLineChars="200"/>
        <w:textAlignment w:val="auto"/>
        <w:rPr>
          <w:rStyle w:val="10"/>
          <w:rFonts w:hint="default" w:ascii="黑体" w:hAnsi="黑体" w:eastAsia="黑体" w:cs="黑体"/>
          <w:b w:val="0"/>
          <w:bCs/>
          <w:sz w:val="32"/>
          <w:szCs w:val="32"/>
          <w:shd w:val="clear" w:color="auto" w:fill="FFFFFF"/>
        </w:rPr>
      </w:pPr>
      <w:r>
        <w:rPr>
          <w:rStyle w:val="10"/>
          <w:rFonts w:ascii="黑体" w:hAnsi="黑体" w:eastAsia="黑体" w:cs="黑体"/>
          <w:b w:val="0"/>
          <w:bCs/>
          <w:sz w:val="32"/>
          <w:szCs w:val="32"/>
          <w:shd w:val="clear" w:color="auto" w:fill="FFFFFF"/>
        </w:rPr>
        <w:t>三、“三公”经费情况说明</w:t>
      </w:r>
    </w:p>
    <w:p>
      <w:pPr>
        <w:pStyle w:val="11"/>
        <w:keepNext w:val="0"/>
        <w:keepLines w:val="0"/>
        <w:pageBreakBefore w:val="0"/>
        <w:kinsoku/>
        <w:wordWrap/>
        <w:overflowPunct/>
        <w:topLinePunct w:val="0"/>
        <w:autoSpaceDE w:val="0"/>
        <w:autoSpaceDN/>
        <w:bidi w:val="0"/>
        <w:adjustRightInd/>
        <w:snapToGrid/>
        <w:spacing w:beforeAutospacing="0" w:afterAutospacing="0" w:line="600" w:lineRule="exact"/>
        <w:ind w:firstLine="643"/>
        <w:textAlignment w:val="auto"/>
        <w:rPr>
          <w:rFonts w:ascii="楷体" w:hAnsi="楷体" w:eastAsia="楷体" w:cs="楷体"/>
          <w:b w:val="0"/>
          <w:bCs/>
          <w:sz w:val="32"/>
          <w:szCs w:val="32"/>
          <w:shd w:val="clear" w:color="auto" w:fill="FFFFFF"/>
        </w:rPr>
      </w:pPr>
      <w:r>
        <w:rPr>
          <w:rFonts w:hint="eastAsia" w:ascii="楷体" w:hAnsi="楷体" w:eastAsia="楷体" w:cs="楷体"/>
          <w:b w:val="0"/>
          <w:bCs/>
          <w:sz w:val="32"/>
          <w:szCs w:val="32"/>
          <w:shd w:val="clear" w:color="auto" w:fill="FFFFFF"/>
        </w:rPr>
        <w:t>（一）“三公”经费支出总体情况说明</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eastAsia" w:ascii="方正仿宋_GBK" w:hAnsi="方正仿宋_GBK" w:eastAsia="方正仿宋_GBK" w:cs="方正仿宋_GBK"/>
          <w:b w:val="0"/>
          <w:bCs/>
          <w:sz w:val="32"/>
          <w:szCs w:val="32"/>
          <w:shd w:val="clear" w:color="auto" w:fill="FFFFFF"/>
          <w:lang w:val="en-US" w:eastAsia="zh-CN" w:bidi="ar-SA"/>
        </w:rPr>
      </w:pPr>
      <w:r>
        <w:rPr>
          <w:rFonts w:ascii="方正仿宋_GBK" w:hAnsi="方正仿宋_GBK" w:eastAsia="方正仿宋_GBK" w:cs="方正仿宋_GBK"/>
          <w:b w:val="0"/>
          <w:bCs/>
          <w:sz w:val="32"/>
          <w:szCs w:val="32"/>
          <w:shd w:val="clear" w:color="auto" w:fill="FFFFFF"/>
        </w:rPr>
        <w:t>202</w:t>
      </w:r>
      <w:r>
        <w:rPr>
          <w:rFonts w:hint="eastAsia" w:ascii="方正仿宋_GBK" w:hAnsi="方正仿宋_GBK" w:eastAsia="方正仿宋_GBK" w:cs="方正仿宋_GBK"/>
          <w:b w:val="0"/>
          <w:bCs/>
          <w:sz w:val="32"/>
          <w:szCs w:val="32"/>
          <w:shd w:val="clear" w:color="auto" w:fill="FFFFFF"/>
          <w:lang w:val="en-US" w:eastAsia="zh-CN"/>
        </w:rPr>
        <w:t>4</w:t>
      </w:r>
      <w:r>
        <w:rPr>
          <w:rFonts w:ascii="方正仿宋_GBK" w:hAnsi="方正仿宋_GBK" w:eastAsia="方正仿宋_GBK" w:cs="方正仿宋_GBK"/>
          <w:b w:val="0"/>
          <w:bCs/>
          <w:sz w:val="32"/>
          <w:szCs w:val="32"/>
          <w:shd w:val="clear" w:color="auto" w:fill="FFFFFF"/>
        </w:rPr>
        <w:t>年度</w:t>
      </w:r>
      <w:r>
        <w:rPr>
          <w:rFonts w:hint="eastAsia" w:ascii="方正仿宋_GBK" w:hAnsi="方正仿宋_GBK" w:eastAsia="方正仿宋_GBK" w:cs="方正仿宋_GBK"/>
          <w:b w:val="0"/>
          <w:bCs/>
          <w:sz w:val="32"/>
          <w:szCs w:val="32"/>
          <w:shd w:val="clear" w:color="auto" w:fill="FFFFFF"/>
          <w:lang w:eastAsia="zh-CN"/>
        </w:rPr>
        <w:t>本部门无三公经费。</w:t>
      </w:r>
    </w:p>
    <w:p>
      <w:pPr>
        <w:pStyle w:val="11"/>
        <w:keepNext w:val="0"/>
        <w:keepLines w:val="0"/>
        <w:pageBreakBefore w:val="0"/>
        <w:kinsoku/>
        <w:wordWrap/>
        <w:overflowPunct/>
        <w:topLinePunct w:val="0"/>
        <w:autoSpaceDE w:val="0"/>
        <w:autoSpaceDN/>
        <w:bidi w:val="0"/>
        <w:adjustRightInd/>
        <w:snapToGrid/>
        <w:spacing w:beforeAutospacing="0" w:afterAutospacing="0" w:line="600" w:lineRule="exact"/>
        <w:ind w:firstLine="643"/>
        <w:textAlignment w:val="auto"/>
        <w:rPr>
          <w:rFonts w:ascii="楷体" w:hAnsi="楷体" w:eastAsia="楷体" w:cs="楷体"/>
          <w:b w:val="0"/>
          <w:bCs/>
          <w:sz w:val="32"/>
          <w:szCs w:val="32"/>
          <w:shd w:val="clear" w:color="auto" w:fill="FFFFFF"/>
        </w:rPr>
      </w:pPr>
      <w:r>
        <w:rPr>
          <w:rFonts w:hint="eastAsia" w:ascii="楷体" w:hAnsi="楷体" w:eastAsia="楷体" w:cs="楷体"/>
          <w:b w:val="0"/>
          <w:bCs/>
          <w:sz w:val="32"/>
          <w:szCs w:val="32"/>
          <w:shd w:val="clear" w:color="auto" w:fill="FFFFFF"/>
        </w:rPr>
        <w:t>（二）“三公”经费分项支出情况</w:t>
      </w:r>
    </w:p>
    <w:p>
      <w:pPr>
        <w:pStyle w:val="11"/>
        <w:keepNext w:val="0"/>
        <w:keepLines w:val="0"/>
        <w:pageBreakBefore w:val="0"/>
        <w:kinsoku/>
        <w:wordWrap/>
        <w:overflowPunct/>
        <w:topLinePunct w:val="0"/>
        <w:autoSpaceDE w:val="0"/>
        <w:autoSpaceDN/>
        <w:bidi w:val="0"/>
        <w:adjustRightInd/>
        <w:snapToGrid/>
        <w:spacing w:beforeAutospacing="0" w:afterAutospacing="0" w:line="600" w:lineRule="exact"/>
        <w:ind w:firstLine="643"/>
        <w:textAlignment w:val="auto"/>
        <w:rPr>
          <w:rFonts w:hint="eastAsia" w:ascii="方正仿宋_GBK" w:hAnsi="方正仿宋_GBK" w:eastAsia="方正仿宋_GBK" w:cs="方正仿宋_GBK"/>
          <w:b w:val="0"/>
          <w:bCs/>
          <w:sz w:val="32"/>
          <w:szCs w:val="32"/>
          <w:shd w:val="clear" w:color="auto" w:fill="FFFFFF"/>
          <w:lang w:eastAsia="zh-CN"/>
        </w:rPr>
      </w:pPr>
      <w:r>
        <w:rPr>
          <w:rFonts w:ascii="方正仿宋_GBK" w:hAnsi="方正仿宋_GBK" w:eastAsia="方正仿宋_GBK" w:cs="方正仿宋_GBK"/>
          <w:b w:val="0"/>
          <w:bCs/>
          <w:sz w:val="32"/>
          <w:szCs w:val="32"/>
          <w:shd w:val="clear" w:color="auto" w:fill="FFFFFF"/>
        </w:rPr>
        <w:t>202</w:t>
      </w:r>
      <w:r>
        <w:rPr>
          <w:rFonts w:hint="eastAsia" w:ascii="方正仿宋_GBK" w:hAnsi="方正仿宋_GBK" w:eastAsia="方正仿宋_GBK" w:cs="方正仿宋_GBK"/>
          <w:b w:val="0"/>
          <w:bCs/>
          <w:sz w:val="32"/>
          <w:szCs w:val="32"/>
          <w:shd w:val="clear" w:color="auto" w:fill="FFFFFF"/>
          <w:lang w:val="en-US" w:eastAsia="zh-CN"/>
        </w:rPr>
        <w:t>4</w:t>
      </w:r>
      <w:r>
        <w:rPr>
          <w:rFonts w:ascii="方正仿宋_GBK" w:hAnsi="方正仿宋_GBK" w:eastAsia="方正仿宋_GBK" w:cs="方正仿宋_GBK"/>
          <w:b w:val="0"/>
          <w:bCs/>
          <w:sz w:val="32"/>
          <w:szCs w:val="32"/>
          <w:shd w:val="clear" w:color="auto" w:fill="FFFFFF"/>
        </w:rPr>
        <w:t>年度</w:t>
      </w:r>
      <w:r>
        <w:rPr>
          <w:rFonts w:hint="eastAsia" w:ascii="方正仿宋_GBK" w:hAnsi="方正仿宋_GBK" w:eastAsia="方正仿宋_GBK" w:cs="方正仿宋_GBK"/>
          <w:b w:val="0"/>
          <w:bCs/>
          <w:sz w:val="32"/>
          <w:szCs w:val="32"/>
          <w:shd w:val="clear" w:color="auto" w:fill="FFFFFF"/>
          <w:lang w:eastAsia="zh-CN"/>
        </w:rPr>
        <w:t>本部门无三公经费。</w:t>
      </w:r>
    </w:p>
    <w:p>
      <w:pPr>
        <w:pStyle w:val="11"/>
        <w:keepNext w:val="0"/>
        <w:keepLines w:val="0"/>
        <w:pageBreakBefore w:val="0"/>
        <w:kinsoku/>
        <w:wordWrap/>
        <w:overflowPunct/>
        <w:topLinePunct w:val="0"/>
        <w:autoSpaceDE w:val="0"/>
        <w:autoSpaceDN/>
        <w:bidi w:val="0"/>
        <w:adjustRightInd/>
        <w:snapToGrid/>
        <w:spacing w:beforeAutospacing="0" w:afterAutospacing="0" w:line="600" w:lineRule="exact"/>
        <w:ind w:firstLine="643"/>
        <w:textAlignment w:val="auto"/>
        <w:rPr>
          <w:rFonts w:ascii="楷体" w:hAnsi="楷体" w:eastAsia="楷体" w:cs="楷体"/>
          <w:b w:val="0"/>
          <w:bCs/>
          <w:sz w:val="32"/>
          <w:szCs w:val="32"/>
          <w:shd w:val="clear" w:color="auto" w:fill="FFFFFF"/>
        </w:rPr>
      </w:pPr>
      <w:r>
        <w:rPr>
          <w:rFonts w:hint="eastAsia" w:ascii="楷体" w:hAnsi="楷体" w:eastAsia="楷体" w:cs="楷体"/>
          <w:b w:val="0"/>
          <w:bCs/>
          <w:sz w:val="32"/>
          <w:szCs w:val="32"/>
          <w:shd w:val="clear" w:color="auto" w:fill="FFFFFF"/>
        </w:rPr>
        <w:t>（三）“三公”经费实物量情况</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sz w:val="32"/>
          <w:szCs w:val="32"/>
        </w:rPr>
      </w:pPr>
      <w:r>
        <w:rPr>
          <w:rFonts w:ascii="方正仿宋_GBK" w:hAnsi="方正仿宋_GBK" w:eastAsia="方正仿宋_GBK" w:cs="方正仿宋_GBK"/>
          <w:b w:val="0"/>
          <w:bCs/>
          <w:sz w:val="32"/>
          <w:szCs w:val="32"/>
          <w:shd w:val="clear" w:color="auto" w:fill="FFFFFF"/>
        </w:rPr>
        <w:t>202</w:t>
      </w:r>
      <w:r>
        <w:rPr>
          <w:rFonts w:hint="eastAsia" w:ascii="方正仿宋_GBK" w:hAnsi="方正仿宋_GBK" w:eastAsia="方正仿宋_GBK" w:cs="方正仿宋_GBK"/>
          <w:b w:val="0"/>
          <w:bCs/>
          <w:sz w:val="32"/>
          <w:szCs w:val="32"/>
          <w:shd w:val="clear" w:color="auto" w:fill="FFFFFF"/>
          <w:lang w:val="en-US" w:eastAsia="zh-CN"/>
        </w:rPr>
        <w:t>4</w:t>
      </w:r>
      <w:r>
        <w:rPr>
          <w:rFonts w:ascii="方正仿宋_GBK" w:hAnsi="方正仿宋_GBK" w:eastAsia="方正仿宋_GBK" w:cs="方正仿宋_GBK"/>
          <w:b w:val="0"/>
          <w:bCs/>
          <w:sz w:val="32"/>
          <w:szCs w:val="32"/>
          <w:shd w:val="clear" w:color="auto" w:fill="FFFFFF"/>
        </w:rPr>
        <w:t>年度</w:t>
      </w:r>
      <w:r>
        <w:rPr>
          <w:rFonts w:hint="eastAsia" w:ascii="方正仿宋_GBK" w:hAnsi="方正仿宋_GBK" w:eastAsia="方正仿宋_GBK" w:cs="方正仿宋_GBK"/>
          <w:b w:val="0"/>
          <w:bCs/>
          <w:sz w:val="32"/>
          <w:szCs w:val="32"/>
          <w:shd w:val="clear" w:color="auto" w:fill="FFFFFF"/>
          <w:lang w:eastAsia="zh-CN"/>
        </w:rPr>
        <w:t>本部门无三公经费。</w:t>
      </w:r>
    </w:p>
    <w:p>
      <w:pPr>
        <w:pStyle w:val="6"/>
        <w:keepNext w:val="0"/>
        <w:keepLines w:val="0"/>
        <w:pageBreakBefore w:val="0"/>
        <w:shd w:val="clear" w:color="auto" w:fill="FFFFFF"/>
        <w:kinsoku/>
        <w:wordWrap/>
        <w:overflowPunct/>
        <w:topLinePunct w:val="0"/>
        <w:autoSpaceDN/>
        <w:bidi w:val="0"/>
        <w:adjustRightInd/>
        <w:snapToGrid/>
        <w:spacing w:before="0" w:beforeAutospacing="0" w:after="0" w:afterAutospacing="0" w:line="600" w:lineRule="exact"/>
        <w:ind w:firstLine="640" w:firstLineChars="200"/>
        <w:textAlignment w:val="auto"/>
        <w:rPr>
          <w:rStyle w:val="10"/>
          <w:rFonts w:hint="default" w:ascii="方正仿宋_GBK" w:hAnsi="方正仿宋_GBK" w:eastAsia="方正仿宋_GBK" w:cs="方正仿宋_GBK"/>
          <w:b w:val="0"/>
          <w:bCs/>
          <w:sz w:val="32"/>
          <w:szCs w:val="32"/>
          <w:shd w:val="clear" w:color="auto" w:fill="FFFFFF"/>
        </w:rPr>
      </w:pPr>
      <w:r>
        <w:rPr>
          <w:rStyle w:val="10"/>
          <w:rFonts w:ascii="黑体" w:hAnsi="黑体" w:eastAsia="黑体" w:cs="黑体"/>
          <w:b w:val="0"/>
          <w:bCs/>
          <w:sz w:val="32"/>
          <w:szCs w:val="32"/>
          <w:shd w:val="clear" w:color="auto" w:fill="FFFFFF"/>
        </w:rPr>
        <w:t>四、其他需要说明的事项</w:t>
      </w:r>
    </w:p>
    <w:p>
      <w:pPr>
        <w:pStyle w:val="11"/>
        <w:keepNext w:val="0"/>
        <w:keepLines w:val="0"/>
        <w:pageBreakBefore w:val="0"/>
        <w:kinsoku/>
        <w:wordWrap/>
        <w:overflowPunct/>
        <w:topLinePunct w:val="0"/>
        <w:autoSpaceDE w:val="0"/>
        <w:autoSpaceDN/>
        <w:bidi w:val="0"/>
        <w:adjustRightInd/>
        <w:snapToGrid/>
        <w:spacing w:beforeAutospacing="0" w:afterAutospacing="0" w:line="600" w:lineRule="exact"/>
        <w:ind w:firstLine="643"/>
        <w:textAlignment w:val="auto"/>
        <w:rPr>
          <w:rFonts w:ascii="楷体" w:hAnsi="楷体" w:eastAsia="楷体" w:cs="楷体"/>
          <w:b w:val="0"/>
          <w:bCs/>
          <w:sz w:val="32"/>
          <w:szCs w:val="32"/>
          <w:shd w:val="clear" w:color="auto" w:fill="FFFFFF"/>
        </w:rPr>
      </w:pPr>
      <w:r>
        <w:rPr>
          <w:rFonts w:hint="eastAsia" w:ascii="楷体" w:hAnsi="楷体" w:eastAsia="楷体" w:cs="楷体"/>
          <w:b w:val="0"/>
          <w:bCs/>
          <w:sz w:val="32"/>
          <w:szCs w:val="32"/>
          <w:shd w:val="clear" w:color="auto" w:fill="FFFFFF"/>
        </w:rPr>
        <w:t>（一）财政拨款会议费和培训费情况说明</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eastAsia" w:ascii="方正仿宋_GBK" w:hAnsi="方正仿宋_GBK" w:eastAsia="方正仿宋_GBK" w:cs="方正仿宋_GBK"/>
          <w:b w:val="0"/>
          <w:bCs/>
          <w:sz w:val="32"/>
          <w:szCs w:val="32"/>
          <w:lang w:eastAsia="zh-CN"/>
        </w:rPr>
      </w:pPr>
      <w:r>
        <w:rPr>
          <w:rFonts w:ascii="方正仿宋_GBK" w:hAnsi="方正仿宋_GBK" w:eastAsia="方正仿宋_GBK" w:cs="方正仿宋_GBK"/>
          <w:b w:val="0"/>
          <w:bCs/>
          <w:sz w:val="32"/>
          <w:szCs w:val="32"/>
          <w:shd w:val="clear" w:color="auto" w:fill="FFFFFF"/>
        </w:rPr>
        <w:t>本年度会议费支出</w:t>
      </w:r>
      <w:r>
        <w:rPr>
          <w:rFonts w:hint="eastAsia" w:ascii="方正仿宋_GBK" w:hAnsi="方正仿宋_GBK" w:eastAsia="方正仿宋_GBK" w:cs="方正仿宋_GBK"/>
          <w:b w:val="0"/>
          <w:bCs/>
          <w:sz w:val="32"/>
          <w:szCs w:val="32"/>
          <w:lang w:val="en-US" w:eastAsia="zh-CN"/>
        </w:rPr>
        <w:t>0</w:t>
      </w:r>
      <w:r>
        <w:rPr>
          <w:rFonts w:ascii="方正仿宋_GBK" w:hAnsi="方正仿宋_GBK" w:eastAsia="方正仿宋_GBK" w:cs="方正仿宋_GBK"/>
          <w:b w:val="0"/>
          <w:bCs/>
          <w:sz w:val="32"/>
          <w:szCs w:val="32"/>
          <w:shd w:val="clear" w:color="auto" w:fill="FFFFFF"/>
        </w:rPr>
        <w:t>万元，较上年决算数</w:t>
      </w:r>
      <w:r>
        <w:rPr>
          <w:rFonts w:hint="eastAsia" w:ascii="方正仿宋_GBK" w:hAnsi="方正仿宋_GBK" w:eastAsia="方正仿宋_GBK" w:cs="方正仿宋_GBK"/>
          <w:b w:val="0"/>
          <w:bCs/>
          <w:sz w:val="32"/>
          <w:szCs w:val="32"/>
          <w:shd w:val="clear" w:color="auto" w:fill="FFFFFF"/>
          <w:lang w:eastAsia="zh-CN"/>
        </w:rPr>
        <w:t>增加</w:t>
      </w:r>
      <w:r>
        <w:rPr>
          <w:rFonts w:hint="eastAsia" w:ascii="方正仿宋_GBK" w:hAnsi="方正仿宋_GBK" w:eastAsia="方正仿宋_GBK" w:cs="方正仿宋_GBK"/>
          <w:b w:val="0"/>
          <w:bCs/>
          <w:sz w:val="32"/>
          <w:szCs w:val="32"/>
          <w:shd w:val="clear" w:color="auto" w:fill="FFFFFF"/>
          <w:lang w:val="en-US" w:eastAsia="zh-CN"/>
        </w:rPr>
        <w:t>0</w:t>
      </w:r>
      <w:r>
        <w:rPr>
          <w:rFonts w:ascii="方正仿宋_GBK" w:hAnsi="方正仿宋_GBK" w:eastAsia="方正仿宋_GBK" w:cs="方正仿宋_GBK"/>
          <w:b w:val="0"/>
          <w:bCs/>
          <w:sz w:val="32"/>
          <w:szCs w:val="32"/>
          <w:shd w:val="clear" w:color="auto" w:fill="FFFFFF"/>
        </w:rPr>
        <w:t>万元，本年度培训费支出</w:t>
      </w:r>
      <w:r>
        <w:rPr>
          <w:rFonts w:hint="eastAsia" w:ascii="方正仿宋_GBK" w:hAnsi="方正仿宋_GBK" w:eastAsia="方正仿宋_GBK" w:cs="方正仿宋_GBK"/>
          <w:b w:val="0"/>
          <w:bCs/>
          <w:sz w:val="32"/>
          <w:szCs w:val="32"/>
          <w:shd w:val="clear" w:color="auto" w:fill="FFFFFF"/>
          <w:lang w:val="en-US" w:eastAsia="zh-CN"/>
        </w:rPr>
        <w:t>0</w:t>
      </w:r>
      <w:r>
        <w:rPr>
          <w:rFonts w:ascii="方正仿宋_GBK" w:hAnsi="方正仿宋_GBK" w:eastAsia="方正仿宋_GBK" w:cs="方正仿宋_GBK"/>
          <w:b w:val="0"/>
          <w:bCs/>
          <w:sz w:val="32"/>
          <w:szCs w:val="32"/>
          <w:shd w:val="clear" w:color="auto" w:fill="FFFFFF"/>
        </w:rPr>
        <w:t>万元，较上年决算数增加</w:t>
      </w:r>
      <w:r>
        <w:rPr>
          <w:rFonts w:hint="eastAsia" w:ascii="方正仿宋_GBK" w:hAnsi="方正仿宋_GBK" w:eastAsia="方正仿宋_GBK" w:cs="方正仿宋_GBK"/>
          <w:b w:val="0"/>
          <w:bCs/>
          <w:sz w:val="32"/>
          <w:szCs w:val="32"/>
          <w:shd w:val="clear" w:color="auto" w:fill="FFFFFF"/>
          <w:lang w:eastAsia="zh-CN"/>
        </w:rPr>
        <w:t>降低</w:t>
      </w:r>
      <w:r>
        <w:rPr>
          <w:rFonts w:hint="eastAsia" w:ascii="方正仿宋_GBK" w:hAnsi="方正仿宋_GBK" w:eastAsia="方正仿宋_GBK" w:cs="方正仿宋_GBK"/>
          <w:b w:val="0"/>
          <w:bCs/>
          <w:sz w:val="32"/>
          <w:szCs w:val="32"/>
          <w:shd w:val="clear" w:color="auto" w:fill="FFFFFF"/>
          <w:lang w:val="en-US" w:eastAsia="zh-CN"/>
        </w:rPr>
        <w:t>0</w:t>
      </w:r>
      <w:r>
        <w:rPr>
          <w:rFonts w:ascii="方正仿宋_GBK" w:hAnsi="方正仿宋_GBK" w:eastAsia="方正仿宋_GBK" w:cs="方正仿宋_GBK"/>
          <w:b w:val="0"/>
          <w:bCs/>
          <w:sz w:val="32"/>
          <w:szCs w:val="32"/>
          <w:shd w:val="clear" w:color="auto" w:fill="FFFFFF"/>
        </w:rPr>
        <w:t>万元</w:t>
      </w:r>
      <w:r>
        <w:rPr>
          <w:rFonts w:hint="eastAsia" w:ascii="方正仿宋_GBK" w:hAnsi="方正仿宋_GBK" w:eastAsia="方正仿宋_GBK" w:cs="方正仿宋_GBK"/>
          <w:b w:val="0"/>
          <w:bCs/>
          <w:sz w:val="32"/>
          <w:szCs w:val="32"/>
          <w:shd w:val="clear" w:color="auto" w:fill="FFFFFF"/>
          <w:lang w:eastAsia="zh-CN"/>
        </w:rPr>
        <w:t>。</w:t>
      </w:r>
    </w:p>
    <w:p>
      <w:pPr>
        <w:pStyle w:val="11"/>
        <w:keepNext w:val="0"/>
        <w:keepLines w:val="0"/>
        <w:pageBreakBefore w:val="0"/>
        <w:kinsoku/>
        <w:wordWrap/>
        <w:overflowPunct/>
        <w:topLinePunct w:val="0"/>
        <w:autoSpaceDE w:val="0"/>
        <w:autoSpaceDN/>
        <w:bidi w:val="0"/>
        <w:adjustRightInd/>
        <w:snapToGrid/>
        <w:spacing w:beforeAutospacing="0" w:afterAutospacing="0" w:line="600" w:lineRule="exact"/>
        <w:ind w:firstLine="643"/>
        <w:textAlignment w:val="auto"/>
        <w:rPr>
          <w:rFonts w:ascii="楷体" w:hAnsi="楷体" w:eastAsia="楷体" w:cs="楷体"/>
          <w:b w:val="0"/>
          <w:bCs/>
          <w:sz w:val="32"/>
          <w:szCs w:val="32"/>
          <w:shd w:val="clear" w:color="auto" w:fill="FFFFFF"/>
        </w:rPr>
      </w:pPr>
      <w:r>
        <w:rPr>
          <w:rFonts w:hint="eastAsia" w:ascii="楷体" w:hAnsi="楷体" w:eastAsia="楷体" w:cs="楷体"/>
          <w:b w:val="0"/>
          <w:bCs/>
          <w:sz w:val="32"/>
          <w:szCs w:val="32"/>
          <w:shd w:val="clear" w:color="auto" w:fill="FFFFFF"/>
        </w:rPr>
        <w:t>（二）机关运行经费情况说明</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color w:val="000000"/>
          <w:sz w:val="32"/>
          <w:szCs w:val="32"/>
          <w:highlight w:val="none"/>
          <w:shd w:val="clear" w:color="auto" w:fill="FFFFFF"/>
          <w:lang w:eastAsia="zh-CN"/>
        </w:rPr>
      </w:pPr>
      <w:r>
        <w:rPr>
          <w:rFonts w:ascii="方正仿宋_GBK" w:hAnsi="方正仿宋_GBK" w:eastAsia="方正仿宋_GBK" w:cs="方正仿宋_GBK"/>
          <w:b w:val="0"/>
          <w:bCs/>
          <w:sz w:val="32"/>
          <w:szCs w:val="32"/>
          <w:shd w:val="clear" w:color="auto" w:fill="FFFFFF"/>
        </w:rPr>
        <w:t>202</w:t>
      </w:r>
      <w:r>
        <w:rPr>
          <w:rFonts w:hint="eastAsia" w:ascii="方正仿宋_GBK" w:hAnsi="方正仿宋_GBK" w:eastAsia="方正仿宋_GBK" w:cs="方正仿宋_GBK"/>
          <w:b w:val="0"/>
          <w:bCs/>
          <w:sz w:val="32"/>
          <w:szCs w:val="32"/>
          <w:shd w:val="clear" w:color="auto" w:fill="FFFFFF"/>
          <w:lang w:val="en-US" w:eastAsia="zh-CN"/>
        </w:rPr>
        <w:t>4</w:t>
      </w:r>
      <w:r>
        <w:rPr>
          <w:rFonts w:ascii="方正仿宋_GBK" w:hAnsi="方正仿宋_GBK" w:eastAsia="方正仿宋_GBK" w:cs="方正仿宋_GBK"/>
          <w:b w:val="0"/>
          <w:bCs/>
          <w:sz w:val="32"/>
          <w:szCs w:val="32"/>
          <w:shd w:val="clear" w:color="auto" w:fill="FFFFFF"/>
        </w:rPr>
        <w:t>年度本单位机关运行经费支出</w:t>
      </w:r>
      <w:r>
        <w:rPr>
          <w:rFonts w:hint="eastAsia" w:ascii="方正仿宋_GBK" w:hAnsi="方正仿宋_GBK" w:eastAsia="方正仿宋_GBK" w:cs="方正仿宋_GBK"/>
          <w:b w:val="0"/>
          <w:bCs/>
          <w:sz w:val="32"/>
          <w:szCs w:val="32"/>
          <w:lang w:val="en-US" w:eastAsia="zh-CN"/>
        </w:rPr>
        <w:t>0</w:t>
      </w:r>
      <w:r>
        <w:rPr>
          <w:rFonts w:ascii="方正仿宋_GBK" w:hAnsi="方正仿宋_GBK" w:eastAsia="方正仿宋_GBK" w:cs="方正仿宋_GBK"/>
          <w:b w:val="0"/>
          <w:bCs/>
          <w:sz w:val="32"/>
          <w:szCs w:val="32"/>
          <w:shd w:val="clear" w:color="auto" w:fill="FFFFFF"/>
        </w:rPr>
        <w:t>万元，机关运行经费主</w:t>
      </w:r>
      <w:r>
        <w:rPr>
          <w:rFonts w:hint="eastAsia" w:ascii="方正仿宋_GBK" w:hAnsi="方正仿宋_GBK" w:eastAsia="方正仿宋_GBK" w:cs="方正仿宋_GBK"/>
          <w:b w:val="0"/>
          <w:bCs/>
          <w:color w:val="000000"/>
          <w:sz w:val="32"/>
          <w:szCs w:val="32"/>
          <w:highlight w:val="none"/>
          <w:shd w:val="clear" w:color="auto" w:fill="FFFFFF"/>
          <w:lang w:eastAsia="zh-CN"/>
        </w:rPr>
        <w:t>要用于开支办公费、邮电通讯费、水电费、交通费用、工会经费等。</w:t>
      </w:r>
    </w:p>
    <w:p>
      <w:pPr>
        <w:pStyle w:val="11"/>
        <w:keepNext w:val="0"/>
        <w:keepLines w:val="0"/>
        <w:pageBreakBefore w:val="0"/>
        <w:kinsoku/>
        <w:wordWrap/>
        <w:overflowPunct/>
        <w:topLinePunct w:val="0"/>
        <w:autoSpaceDE w:val="0"/>
        <w:autoSpaceDN/>
        <w:bidi w:val="0"/>
        <w:adjustRightInd/>
        <w:snapToGrid/>
        <w:spacing w:beforeAutospacing="0" w:afterAutospacing="0" w:line="600" w:lineRule="exact"/>
        <w:ind w:firstLine="643"/>
        <w:textAlignment w:val="auto"/>
        <w:rPr>
          <w:rFonts w:ascii="楷体" w:hAnsi="楷体" w:eastAsia="楷体" w:cs="楷体"/>
          <w:b w:val="0"/>
          <w:bCs/>
          <w:sz w:val="32"/>
          <w:szCs w:val="32"/>
          <w:shd w:val="clear" w:color="auto" w:fill="FFFFFF"/>
        </w:rPr>
      </w:pPr>
      <w:r>
        <w:rPr>
          <w:rFonts w:hint="eastAsia" w:ascii="楷体" w:hAnsi="楷体" w:eastAsia="楷体" w:cs="楷体"/>
          <w:b w:val="0"/>
          <w:bCs/>
          <w:sz w:val="32"/>
          <w:szCs w:val="32"/>
          <w:shd w:val="clear" w:color="auto" w:fill="FFFFFF"/>
        </w:rPr>
        <w:t>（三）国有资产占用情况说明</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sz w:val="32"/>
          <w:szCs w:val="32"/>
        </w:rPr>
      </w:pPr>
      <w:r>
        <w:rPr>
          <w:rFonts w:ascii="方正仿宋_GBK" w:hAnsi="方正仿宋_GBK" w:eastAsia="方正仿宋_GBK" w:cs="方正仿宋_GBK"/>
          <w:b w:val="0"/>
          <w:bCs/>
          <w:sz w:val="32"/>
          <w:szCs w:val="32"/>
          <w:shd w:val="clear" w:color="auto" w:fill="FFFFFF"/>
        </w:rPr>
        <w:t>截至202</w:t>
      </w:r>
      <w:r>
        <w:rPr>
          <w:rFonts w:hint="eastAsia" w:ascii="方正仿宋_GBK" w:hAnsi="方正仿宋_GBK" w:eastAsia="方正仿宋_GBK" w:cs="方正仿宋_GBK"/>
          <w:b w:val="0"/>
          <w:bCs/>
          <w:sz w:val="32"/>
          <w:szCs w:val="32"/>
          <w:shd w:val="clear" w:color="auto" w:fill="FFFFFF"/>
          <w:lang w:val="en-US" w:eastAsia="zh-CN"/>
        </w:rPr>
        <w:t>4</w:t>
      </w:r>
      <w:r>
        <w:rPr>
          <w:rFonts w:ascii="方正仿宋_GBK" w:hAnsi="方正仿宋_GBK" w:eastAsia="方正仿宋_GBK" w:cs="方正仿宋_GBK"/>
          <w:b w:val="0"/>
          <w:bCs/>
          <w:sz w:val="32"/>
          <w:szCs w:val="32"/>
          <w:shd w:val="clear" w:color="auto" w:fill="FFFFFF"/>
        </w:rPr>
        <w:t>年12月31日，本单位共有车辆</w:t>
      </w:r>
      <w:r>
        <w:rPr>
          <w:rFonts w:hint="eastAsia" w:ascii="方正仿宋_GBK" w:hAnsi="方正仿宋_GBK" w:eastAsia="方正仿宋_GBK" w:cs="方正仿宋_GBK"/>
          <w:b w:val="0"/>
          <w:bCs/>
          <w:sz w:val="32"/>
          <w:szCs w:val="32"/>
          <w:lang w:val="en-US" w:eastAsia="zh-CN"/>
        </w:rPr>
        <w:t>0</w:t>
      </w:r>
      <w:r>
        <w:rPr>
          <w:rFonts w:ascii="方正仿宋_GBK" w:hAnsi="方正仿宋_GBK" w:eastAsia="方正仿宋_GBK" w:cs="方正仿宋_GBK"/>
          <w:b w:val="0"/>
          <w:bCs/>
          <w:sz w:val="32"/>
          <w:szCs w:val="32"/>
          <w:shd w:val="clear" w:color="auto" w:fill="FFFFFF"/>
        </w:rPr>
        <w:t>辆，其中，副部（省）级及以上领导用车</w:t>
      </w:r>
      <w:r>
        <w:rPr>
          <w:rFonts w:ascii="方正仿宋_GBK" w:hAnsi="方正仿宋_GBK" w:eastAsia="方正仿宋_GBK" w:cs="方正仿宋_GBK"/>
          <w:b w:val="0"/>
          <w:bCs/>
          <w:sz w:val="32"/>
          <w:szCs w:val="32"/>
        </w:rPr>
        <w:t>0</w:t>
      </w:r>
      <w:r>
        <w:rPr>
          <w:rFonts w:ascii="方正仿宋_GBK" w:hAnsi="方正仿宋_GBK" w:eastAsia="方正仿宋_GBK" w:cs="方正仿宋_GBK"/>
          <w:b w:val="0"/>
          <w:bCs/>
          <w:sz w:val="32"/>
          <w:szCs w:val="32"/>
          <w:shd w:val="clear" w:color="auto" w:fill="FFFFFF"/>
        </w:rPr>
        <w:t>辆、主要负责人用车</w:t>
      </w:r>
      <w:r>
        <w:rPr>
          <w:rFonts w:ascii="方正仿宋_GBK" w:hAnsi="方正仿宋_GBK" w:eastAsia="方正仿宋_GBK" w:cs="方正仿宋_GBK"/>
          <w:b w:val="0"/>
          <w:bCs/>
          <w:sz w:val="32"/>
          <w:szCs w:val="32"/>
        </w:rPr>
        <w:t>0</w:t>
      </w:r>
      <w:r>
        <w:rPr>
          <w:rFonts w:ascii="方正仿宋_GBK" w:hAnsi="方正仿宋_GBK" w:eastAsia="方正仿宋_GBK" w:cs="方正仿宋_GBK"/>
          <w:b w:val="0"/>
          <w:bCs/>
          <w:sz w:val="32"/>
          <w:szCs w:val="32"/>
          <w:shd w:val="clear" w:color="auto" w:fill="FFFFFF"/>
        </w:rPr>
        <w:t>辆、机要通信用车</w:t>
      </w:r>
      <w:r>
        <w:rPr>
          <w:rFonts w:hint="eastAsia" w:ascii="方正仿宋_GBK" w:hAnsi="方正仿宋_GBK" w:eastAsia="方正仿宋_GBK" w:cs="方正仿宋_GBK"/>
          <w:b w:val="0"/>
          <w:bCs/>
          <w:sz w:val="32"/>
          <w:szCs w:val="32"/>
          <w:lang w:val="en-US" w:eastAsia="zh-CN"/>
        </w:rPr>
        <w:t>0</w:t>
      </w:r>
      <w:r>
        <w:rPr>
          <w:rFonts w:ascii="方正仿宋_GBK" w:hAnsi="方正仿宋_GBK" w:eastAsia="方正仿宋_GBK" w:cs="方正仿宋_GBK"/>
          <w:b w:val="0"/>
          <w:bCs/>
          <w:sz w:val="32"/>
          <w:szCs w:val="32"/>
          <w:shd w:val="clear" w:color="auto" w:fill="FFFFFF"/>
        </w:rPr>
        <w:t>辆、应急保障用车</w:t>
      </w:r>
      <w:r>
        <w:rPr>
          <w:rFonts w:hint="eastAsia" w:ascii="方正仿宋_GBK" w:hAnsi="方正仿宋_GBK" w:eastAsia="方正仿宋_GBK" w:cs="方正仿宋_GBK"/>
          <w:b w:val="0"/>
          <w:bCs/>
          <w:sz w:val="32"/>
          <w:szCs w:val="32"/>
          <w:lang w:val="en-US" w:eastAsia="zh-CN"/>
        </w:rPr>
        <w:t>0</w:t>
      </w:r>
      <w:r>
        <w:rPr>
          <w:rFonts w:ascii="方正仿宋_GBK" w:hAnsi="方正仿宋_GBK" w:eastAsia="方正仿宋_GBK" w:cs="方正仿宋_GBK"/>
          <w:b w:val="0"/>
          <w:bCs/>
          <w:sz w:val="32"/>
          <w:szCs w:val="32"/>
          <w:shd w:val="clear" w:color="auto" w:fill="FFFFFF"/>
        </w:rPr>
        <w:t>辆、执法执勤用车</w:t>
      </w:r>
      <w:r>
        <w:rPr>
          <w:rFonts w:ascii="方正仿宋_GBK" w:hAnsi="方正仿宋_GBK" w:eastAsia="方正仿宋_GBK" w:cs="方正仿宋_GBK"/>
          <w:b w:val="0"/>
          <w:bCs/>
          <w:sz w:val="32"/>
          <w:szCs w:val="32"/>
        </w:rPr>
        <w:t>0</w:t>
      </w:r>
      <w:r>
        <w:rPr>
          <w:rFonts w:ascii="方正仿宋_GBK" w:hAnsi="方正仿宋_GBK" w:eastAsia="方正仿宋_GBK" w:cs="方正仿宋_GBK"/>
          <w:b w:val="0"/>
          <w:bCs/>
          <w:sz w:val="32"/>
          <w:szCs w:val="32"/>
          <w:shd w:val="clear" w:color="auto" w:fill="FFFFFF"/>
        </w:rPr>
        <w:t>辆，特种专业技术用车</w:t>
      </w:r>
      <w:r>
        <w:rPr>
          <w:rFonts w:ascii="方正仿宋_GBK" w:hAnsi="方正仿宋_GBK" w:eastAsia="方正仿宋_GBK" w:cs="方正仿宋_GBK"/>
          <w:b w:val="0"/>
          <w:bCs/>
          <w:sz w:val="32"/>
          <w:szCs w:val="32"/>
        </w:rPr>
        <w:t>0</w:t>
      </w:r>
      <w:r>
        <w:rPr>
          <w:rFonts w:ascii="方正仿宋_GBK" w:hAnsi="方正仿宋_GBK" w:eastAsia="方正仿宋_GBK" w:cs="方正仿宋_GBK"/>
          <w:b w:val="0"/>
          <w:bCs/>
          <w:sz w:val="32"/>
          <w:szCs w:val="32"/>
          <w:shd w:val="clear" w:color="auto" w:fill="FFFFFF"/>
        </w:rPr>
        <w:t>辆，离退休干部用车</w:t>
      </w:r>
      <w:r>
        <w:rPr>
          <w:rFonts w:ascii="方正仿宋_GBK" w:hAnsi="方正仿宋_GBK" w:eastAsia="方正仿宋_GBK" w:cs="方正仿宋_GBK"/>
          <w:b w:val="0"/>
          <w:bCs/>
          <w:sz w:val="32"/>
          <w:szCs w:val="32"/>
        </w:rPr>
        <w:t>0</w:t>
      </w:r>
      <w:r>
        <w:rPr>
          <w:rFonts w:ascii="方正仿宋_GBK" w:hAnsi="方正仿宋_GBK" w:eastAsia="方正仿宋_GBK" w:cs="方正仿宋_GBK"/>
          <w:b w:val="0"/>
          <w:bCs/>
          <w:sz w:val="32"/>
          <w:szCs w:val="32"/>
          <w:shd w:val="clear" w:color="auto" w:fill="FFFFFF"/>
        </w:rPr>
        <w:t>辆。单价100万元（含）以上专用设备</w:t>
      </w:r>
      <w:r>
        <w:rPr>
          <w:rFonts w:ascii="方正仿宋_GBK" w:hAnsi="方正仿宋_GBK" w:eastAsia="方正仿宋_GBK" w:cs="方正仿宋_GBK"/>
          <w:b w:val="0"/>
          <w:bCs/>
          <w:sz w:val="32"/>
          <w:szCs w:val="32"/>
        </w:rPr>
        <w:t>0</w:t>
      </w:r>
      <w:r>
        <w:rPr>
          <w:rFonts w:ascii="方正仿宋_GBK" w:hAnsi="方正仿宋_GBK" w:eastAsia="方正仿宋_GBK" w:cs="方正仿宋_GBK"/>
          <w:b w:val="0"/>
          <w:bCs/>
          <w:sz w:val="32"/>
          <w:szCs w:val="32"/>
          <w:shd w:val="clear" w:color="auto" w:fill="FFFFFF"/>
        </w:rPr>
        <w:t>台（套）。</w:t>
      </w:r>
    </w:p>
    <w:p>
      <w:pPr>
        <w:pStyle w:val="11"/>
        <w:keepNext w:val="0"/>
        <w:keepLines w:val="0"/>
        <w:pageBreakBefore w:val="0"/>
        <w:kinsoku/>
        <w:wordWrap/>
        <w:overflowPunct/>
        <w:topLinePunct w:val="0"/>
        <w:autoSpaceDE w:val="0"/>
        <w:autoSpaceDN/>
        <w:bidi w:val="0"/>
        <w:adjustRightInd/>
        <w:snapToGrid/>
        <w:spacing w:beforeAutospacing="0" w:afterAutospacing="0" w:line="600" w:lineRule="exact"/>
        <w:ind w:firstLine="643"/>
        <w:textAlignment w:val="auto"/>
        <w:rPr>
          <w:rFonts w:ascii="楷体" w:hAnsi="楷体" w:eastAsia="楷体" w:cs="楷体"/>
          <w:b w:val="0"/>
          <w:bCs/>
          <w:sz w:val="32"/>
          <w:szCs w:val="32"/>
          <w:shd w:val="clear" w:color="auto" w:fill="FFFFFF"/>
        </w:rPr>
      </w:pPr>
      <w:r>
        <w:rPr>
          <w:rFonts w:hint="eastAsia" w:ascii="楷体" w:hAnsi="楷体" w:eastAsia="楷体" w:cs="楷体"/>
          <w:b w:val="0"/>
          <w:bCs/>
          <w:sz w:val="32"/>
          <w:szCs w:val="32"/>
          <w:shd w:val="clear" w:color="auto" w:fill="FFFFFF"/>
        </w:rPr>
        <w:t>（四）政府采购支出情况说明</w:t>
      </w:r>
    </w:p>
    <w:p>
      <w:pPr>
        <w:pStyle w:val="6"/>
        <w:keepNext w:val="0"/>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auto"/>
        <w:rPr>
          <w:rFonts w:hint="eastAsia" w:ascii="方正仿宋_GBK" w:hAnsi="方正仿宋_GBK" w:eastAsia="方正仿宋_GBK" w:cs="方正仿宋_GBK"/>
          <w:b w:val="0"/>
          <w:bCs/>
          <w:color w:val="FF0000"/>
          <w:sz w:val="32"/>
          <w:szCs w:val="32"/>
          <w:shd w:val="clear" w:color="auto" w:fill="FFFFFF"/>
          <w:lang w:eastAsia="zh-CN"/>
        </w:rPr>
      </w:pPr>
      <w:r>
        <w:rPr>
          <w:rFonts w:ascii="方正仿宋_GBK" w:hAnsi="方正仿宋_GBK" w:eastAsia="方正仿宋_GBK" w:cs="方正仿宋_GBK"/>
          <w:b w:val="0"/>
          <w:bCs/>
          <w:sz w:val="32"/>
          <w:szCs w:val="32"/>
          <w:shd w:val="clear" w:color="auto" w:fill="FFFFFF"/>
        </w:rPr>
        <w:t>202</w:t>
      </w:r>
      <w:r>
        <w:rPr>
          <w:rFonts w:hint="eastAsia" w:ascii="方正仿宋_GBK" w:hAnsi="方正仿宋_GBK" w:eastAsia="方正仿宋_GBK" w:cs="方正仿宋_GBK"/>
          <w:b w:val="0"/>
          <w:bCs/>
          <w:sz w:val="32"/>
          <w:szCs w:val="32"/>
          <w:shd w:val="clear" w:color="auto" w:fill="FFFFFF"/>
          <w:lang w:val="en-US" w:eastAsia="zh-CN"/>
        </w:rPr>
        <w:t>4</w:t>
      </w:r>
      <w:r>
        <w:rPr>
          <w:rFonts w:ascii="方正仿宋_GBK" w:hAnsi="方正仿宋_GBK" w:eastAsia="方正仿宋_GBK" w:cs="方正仿宋_GBK"/>
          <w:b w:val="0"/>
          <w:bCs/>
          <w:sz w:val="32"/>
          <w:szCs w:val="32"/>
          <w:shd w:val="clear" w:color="auto" w:fill="FFFFFF"/>
        </w:rPr>
        <w:t>年度本单位政府采购支出总额</w:t>
      </w:r>
      <w:r>
        <w:rPr>
          <w:rFonts w:hint="eastAsia" w:ascii="方正仿宋_GBK" w:hAnsi="方正仿宋_GBK" w:eastAsia="方正仿宋_GBK" w:cs="方正仿宋_GBK"/>
          <w:b w:val="0"/>
          <w:bCs/>
          <w:sz w:val="32"/>
          <w:szCs w:val="32"/>
          <w:lang w:val="en-US" w:eastAsia="zh-CN"/>
        </w:rPr>
        <w:t>0</w:t>
      </w:r>
      <w:r>
        <w:rPr>
          <w:rFonts w:ascii="方正仿宋_GBK" w:hAnsi="方正仿宋_GBK" w:eastAsia="方正仿宋_GBK" w:cs="方正仿宋_GBK"/>
          <w:b w:val="0"/>
          <w:bCs/>
          <w:sz w:val="32"/>
          <w:szCs w:val="32"/>
          <w:shd w:val="clear" w:color="auto" w:fill="FFFFFF"/>
        </w:rPr>
        <w:t>万元，其中：政府采购货物支出</w:t>
      </w:r>
      <w:r>
        <w:rPr>
          <w:rFonts w:ascii="方正仿宋_GBK" w:hAnsi="方正仿宋_GBK" w:eastAsia="方正仿宋_GBK" w:cs="方正仿宋_GBK"/>
          <w:b w:val="0"/>
          <w:bCs/>
          <w:sz w:val="32"/>
          <w:szCs w:val="32"/>
        </w:rPr>
        <w:t>0.00</w:t>
      </w:r>
      <w:r>
        <w:rPr>
          <w:rFonts w:ascii="方正仿宋_GBK" w:hAnsi="方正仿宋_GBK" w:eastAsia="方正仿宋_GBK" w:cs="方正仿宋_GBK"/>
          <w:b w:val="0"/>
          <w:bCs/>
          <w:sz w:val="32"/>
          <w:szCs w:val="32"/>
          <w:shd w:val="clear" w:color="auto" w:fill="FFFFFF"/>
        </w:rPr>
        <w:t>万元、政府采购工程支出</w:t>
      </w:r>
      <w:r>
        <w:rPr>
          <w:rFonts w:hint="eastAsia" w:ascii="方正仿宋_GBK" w:hAnsi="方正仿宋_GBK" w:eastAsia="方正仿宋_GBK" w:cs="方正仿宋_GBK"/>
          <w:b w:val="0"/>
          <w:bCs/>
          <w:sz w:val="32"/>
          <w:szCs w:val="32"/>
          <w:lang w:val="en-US" w:eastAsia="zh-CN"/>
        </w:rPr>
        <w:t>0</w:t>
      </w:r>
      <w:r>
        <w:rPr>
          <w:rFonts w:ascii="方正仿宋_GBK" w:hAnsi="方正仿宋_GBK" w:eastAsia="方正仿宋_GBK" w:cs="方正仿宋_GBK"/>
          <w:b w:val="0"/>
          <w:bCs/>
          <w:sz w:val="32"/>
          <w:szCs w:val="32"/>
          <w:shd w:val="clear" w:color="auto" w:fill="FFFFFF"/>
        </w:rPr>
        <w:t>万元、政府采购服务支出</w:t>
      </w:r>
      <w:r>
        <w:rPr>
          <w:rFonts w:ascii="方正仿宋_GBK" w:hAnsi="方正仿宋_GBK" w:eastAsia="方正仿宋_GBK" w:cs="方正仿宋_GBK"/>
          <w:b w:val="0"/>
          <w:bCs/>
          <w:sz w:val="32"/>
          <w:szCs w:val="32"/>
        </w:rPr>
        <w:t>0.00</w:t>
      </w:r>
      <w:r>
        <w:rPr>
          <w:rFonts w:ascii="方正仿宋_GBK" w:hAnsi="方正仿宋_GBK" w:eastAsia="方正仿宋_GBK" w:cs="方正仿宋_GBK"/>
          <w:b w:val="0"/>
          <w:bCs/>
          <w:sz w:val="32"/>
          <w:szCs w:val="32"/>
          <w:shd w:val="clear" w:color="auto" w:fill="FFFFFF"/>
        </w:rPr>
        <w:t>万元。授予中小企业合同金额</w:t>
      </w:r>
      <w:r>
        <w:rPr>
          <w:rFonts w:hint="eastAsia" w:ascii="方正仿宋_GBK" w:hAnsi="方正仿宋_GBK" w:eastAsia="方正仿宋_GBK" w:cs="方正仿宋_GBK"/>
          <w:b w:val="0"/>
          <w:bCs/>
          <w:sz w:val="32"/>
          <w:szCs w:val="32"/>
          <w:lang w:val="en-US" w:eastAsia="zh-CN"/>
        </w:rPr>
        <w:t>0</w:t>
      </w:r>
      <w:r>
        <w:rPr>
          <w:rFonts w:ascii="方正仿宋_GBK" w:hAnsi="方正仿宋_GBK" w:eastAsia="方正仿宋_GBK" w:cs="方正仿宋_GBK"/>
          <w:b w:val="0"/>
          <w:bCs/>
          <w:sz w:val="32"/>
          <w:szCs w:val="32"/>
        </w:rPr>
        <w:t>万</w:t>
      </w:r>
      <w:r>
        <w:rPr>
          <w:rFonts w:ascii="方正仿宋_GBK" w:hAnsi="方正仿宋_GBK" w:eastAsia="方正仿宋_GBK" w:cs="方正仿宋_GBK"/>
          <w:b w:val="0"/>
          <w:bCs/>
          <w:sz w:val="32"/>
          <w:szCs w:val="32"/>
          <w:shd w:val="clear" w:color="auto" w:fill="FFFFFF"/>
        </w:rPr>
        <w:t>元</w:t>
      </w:r>
      <w:r>
        <w:rPr>
          <w:rFonts w:hint="eastAsia" w:ascii="方正仿宋_GBK" w:hAnsi="方正仿宋_GBK" w:eastAsia="方正仿宋_GBK" w:cs="方正仿宋_GBK"/>
          <w:b w:val="0"/>
          <w:bCs/>
          <w:sz w:val="32"/>
          <w:szCs w:val="32"/>
          <w:shd w:val="clear" w:color="auto" w:fill="FFFFFF"/>
          <w:lang w:eastAsia="zh-CN"/>
        </w:rPr>
        <w:t>。</w:t>
      </w:r>
    </w:p>
    <w:p>
      <w:pPr>
        <w:pStyle w:val="6"/>
        <w:keepNext w:val="0"/>
        <w:keepLines w:val="0"/>
        <w:pageBreakBefore w:val="0"/>
        <w:numPr>
          <w:ilvl w:val="0"/>
          <w:numId w:val="0"/>
        </w:numPr>
        <w:shd w:val="clear" w:color="auto" w:fill="FFFFFF"/>
        <w:kinsoku/>
        <w:wordWrap/>
        <w:overflowPunct/>
        <w:topLinePunct w:val="0"/>
        <w:autoSpaceDN/>
        <w:bidi w:val="0"/>
        <w:adjustRightInd/>
        <w:snapToGrid/>
        <w:spacing w:before="0" w:beforeAutospacing="0" w:after="0" w:afterAutospacing="0" w:line="600" w:lineRule="exact"/>
        <w:ind w:firstLine="640" w:firstLineChars="200"/>
        <w:textAlignment w:val="auto"/>
        <w:rPr>
          <w:rStyle w:val="10"/>
          <w:rFonts w:hint="default" w:ascii="黑体" w:hAnsi="黑体" w:eastAsia="黑体" w:cs="黑体"/>
          <w:b w:val="0"/>
          <w:bCs/>
          <w:sz w:val="32"/>
          <w:szCs w:val="32"/>
          <w:shd w:val="clear" w:color="auto" w:fill="FFFFFF"/>
        </w:rPr>
      </w:pPr>
      <w:r>
        <w:rPr>
          <w:rStyle w:val="10"/>
          <w:rFonts w:hint="eastAsia" w:ascii="黑体" w:hAnsi="黑体" w:eastAsia="黑体" w:cs="黑体"/>
          <w:b w:val="0"/>
          <w:bCs/>
          <w:sz w:val="32"/>
          <w:szCs w:val="32"/>
          <w:shd w:val="clear" w:color="auto" w:fill="FFFFFF"/>
          <w:lang w:eastAsia="zh-CN"/>
        </w:rPr>
        <w:t>五、</w:t>
      </w:r>
      <w:r>
        <w:rPr>
          <w:rStyle w:val="10"/>
          <w:rFonts w:ascii="黑体" w:hAnsi="黑体" w:eastAsia="黑体" w:cs="黑体"/>
          <w:b w:val="0"/>
          <w:bCs/>
          <w:sz w:val="32"/>
          <w:szCs w:val="32"/>
          <w:shd w:val="clear" w:color="auto" w:fill="FFFFFF"/>
        </w:rPr>
        <w:t>预算绩效管理情况说明</w:t>
      </w:r>
    </w:p>
    <w:p>
      <w:pPr>
        <w:pStyle w:val="11"/>
        <w:keepNext w:val="0"/>
        <w:keepLines w:val="0"/>
        <w:pageBreakBefore w:val="0"/>
        <w:kinsoku/>
        <w:wordWrap/>
        <w:overflowPunct/>
        <w:topLinePunct w:val="0"/>
        <w:autoSpaceDE w:val="0"/>
        <w:autoSpaceDN/>
        <w:bidi w:val="0"/>
        <w:adjustRightInd/>
        <w:snapToGrid/>
        <w:spacing w:beforeAutospacing="0" w:afterAutospacing="0" w:line="600" w:lineRule="exact"/>
        <w:ind w:firstLine="643"/>
        <w:textAlignment w:val="auto"/>
        <w:rPr>
          <w:rFonts w:ascii="楷体" w:hAnsi="楷体" w:eastAsia="楷体" w:cs="楷体"/>
          <w:b w:val="0"/>
          <w:bCs/>
          <w:sz w:val="32"/>
          <w:szCs w:val="32"/>
          <w:shd w:val="clear" w:color="auto" w:fill="FFFFFF"/>
        </w:rPr>
      </w:pPr>
      <w:r>
        <w:rPr>
          <w:rFonts w:hint="eastAsia" w:ascii="楷体" w:hAnsi="楷体" w:eastAsia="楷体" w:cs="楷体"/>
          <w:b w:val="0"/>
          <w:bCs/>
          <w:sz w:val="32"/>
          <w:szCs w:val="32"/>
          <w:shd w:val="clear" w:color="auto" w:fill="FFFFFF"/>
        </w:rPr>
        <w:t>（一）单位自评情况</w:t>
      </w:r>
    </w:p>
    <w:p>
      <w:pPr>
        <w:pStyle w:val="12"/>
        <w:keepNext w:val="0"/>
        <w:keepLines w:val="0"/>
        <w:pageBreakBefore w:val="0"/>
        <w:kinsoku/>
        <w:wordWrap/>
        <w:overflowPunct/>
        <w:topLinePunct w:val="0"/>
        <w:autoSpaceDE w:val="0"/>
        <w:autoSpaceDN/>
        <w:bidi w:val="0"/>
        <w:adjustRightInd/>
        <w:snapToGrid/>
        <w:spacing w:before="0" w:beforeAutospacing="0" w:after="0" w:afterAutospacing="0" w:line="600" w:lineRule="exact"/>
        <w:ind w:firstLine="640"/>
        <w:textAlignment w:val="auto"/>
        <w:rPr>
          <w:rFonts w:eastAsia="方正仿宋_GBK" w:cs="宋体"/>
          <w:b w:val="0"/>
          <w:bCs/>
          <w:sz w:val="32"/>
          <w:szCs w:val="32"/>
          <w:highlight w:val="yellow"/>
        </w:rPr>
      </w:pPr>
      <w:r>
        <w:rPr>
          <w:rFonts w:hint="eastAsia" w:ascii="方正仿宋_GBK" w:hAnsi="方正仿宋_GBK" w:eastAsia="方正仿宋_GBK" w:cs="方正仿宋_GBK"/>
          <w:b w:val="0"/>
          <w:bCs/>
          <w:sz w:val="32"/>
          <w:szCs w:val="32"/>
          <w:shd w:val="clear" w:color="auto" w:fill="FFFFFF"/>
        </w:rPr>
        <w:t>根据预算绩效管理要求，我单位对</w:t>
      </w:r>
      <w:r>
        <w:rPr>
          <w:rFonts w:hint="eastAsia" w:ascii="方正仿宋_GBK" w:hAnsi="方正仿宋_GBK" w:eastAsia="方正仿宋_GBK" w:cs="方正仿宋_GBK"/>
          <w:b w:val="0"/>
          <w:bCs/>
          <w:sz w:val="32"/>
          <w:szCs w:val="32"/>
          <w:shd w:val="clear" w:color="auto" w:fill="FFFFFF"/>
          <w:lang w:val="en-US" w:eastAsia="zh-CN"/>
        </w:rPr>
        <w:t>1</w:t>
      </w:r>
      <w:r>
        <w:rPr>
          <w:rFonts w:hint="eastAsia" w:ascii="方正仿宋_GBK" w:hAnsi="方正仿宋_GBK" w:eastAsia="方正仿宋_GBK" w:cs="方正仿宋_GBK"/>
          <w:b w:val="0"/>
          <w:bCs/>
          <w:sz w:val="32"/>
          <w:szCs w:val="32"/>
          <w:shd w:val="clear" w:color="auto" w:fill="FFFFFF"/>
        </w:rPr>
        <w:t>个项目开展了绩效自评。</w:t>
      </w:r>
    </w:p>
    <w:p>
      <w:pPr>
        <w:pStyle w:val="12"/>
        <w:keepNext w:val="0"/>
        <w:keepLines w:val="0"/>
        <w:pageBreakBefore w:val="0"/>
        <w:kinsoku/>
        <w:wordWrap/>
        <w:overflowPunct/>
        <w:topLinePunct w:val="0"/>
        <w:autoSpaceDN/>
        <w:bidi w:val="0"/>
        <w:adjustRightInd/>
        <w:snapToGrid/>
        <w:spacing w:before="0" w:beforeAutospacing="0" w:after="0" w:afterAutospacing="0" w:line="600" w:lineRule="exact"/>
        <w:ind w:firstLine="560"/>
        <w:textAlignment w:val="auto"/>
        <w:rPr>
          <w:rFonts w:ascii="方正仿宋_GBK" w:hAnsi="方正仿宋_GBK" w:eastAsia="方正仿宋_GBK" w:cs="方正仿宋_GBK"/>
          <w:b w:val="0"/>
          <w:bCs/>
          <w:sz w:val="32"/>
          <w:szCs w:val="32"/>
          <w:highlight w:val="none"/>
          <w:shd w:val="clear" w:color="auto" w:fill="FFFFFF"/>
        </w:rPr>
      </w:pPr>
      <w:r>
        <w:rPr>
          <w:rFonts w:hint="eastAsia" w:ascii="方正仿宋_GBK" w:hAnsi="方正仿宋_GBK" w:eastAsia="方正仿宋_GBK" w:cs="方正仿宋_GBK"/>
          <w:b w:val="0"/>
          <w:bCs/>
          <w:sz w:val="32"/>
          <w:szCs w:val="32"/>
          <w:shd w:val="clear" w:color="auto" w:fill="FFFFFF"/>
        </w:rPr>
        <w:t>1.</w:t>
      </w:r>
      <w:r>
        <w:rPr>
          <w:rFonts w:hint="eastAsia" w:ascii="方正仿宋_GBK" w:hAnsi="方正仿宋_GBK" w:eastAsia="方正仿宋_GBK" w:cs="方正仿宋_GBK"/>
          <w:b w:val="0"/>
          <w:bCs/>
          <w:sz w:val="32"/>
          <w:szCs w:val="32"/>
          <w:highlight w:val="none"/>
          <w:shd w:val="clear" w:color="auto" w:fill="FFFFFF"/>
        </w:rPr>
        <w:t>项目支出绩效自评汇总表</w:t>
      </w:r>
    </w:p>
    <w:tbl>
      <w:tblPr>
        <w:tblStyle w:val="7"/>
        <w:tblW w:w="5000" w:type="pct"/>
        <w:tblInd w:w="0" w:type="dxa"/>
        <w:tblLayout w:type="autofit"/>
        <w:tblCellMar>
          <w:top w:w="0" w:type="dxa"/>
          <w:left w:w="108" w:type="dxa"/>
          <w:bottom w:w="0" w:type="dxa"/>
          <w:right w:w="108" w:type="dxa"/>
        </w:tblCellMar>
      </w:tblPr>
      <w:tblGrid>
        <w:gridCol w:w="1772"/>
        <w:gridCol w:w="4379"/>
        <w:gridCol w:w="3080"/>
      </w:tblGrid>
      <w:tr>
        <w:tblPrEx>
          <w:tblCellMar>
            <w:top w:w="0" w:type="dxa"/>
            <w:left w:w="108" w:type="dxa"/>
            <w:bottom w:w="0" w:type="dxa"/>
            <w:right w:w="108" w:type="dxa"/>
          </w:tblCellMar>
        </w:tblPrEx>
        <w:trPr>
          <w:trHeight w:val="345" w:hRule="atLeast"/>
        </w:trPr>
        <w:tc>
          <w:tcPr>
            <w:tcW w:w="5000" w:type="pct"/>
            <w:gridSpan w:val="3"/>
            <w:tcBorders>
              <w:top w:val="nil"/>
              <w:left w:val="nil"/>
              <w:bottom w:val="single" w:color="auto" w:sz="4" w:space="0"/>
              <w:right w:val="nil"/>
            </w:tcBorders>
            <w:shd w:val="clear" w:color="auto" w:fill="auto"/>
            <w:vAlign w:val="center"/>
          </w:tcPr>
          <w:p>
            <w:pPr>
              <w:jc w:val="center"/>
              <w:rPr>
                <w:rFonts w:hint="default" w:ascii="方正仿宋_GBK" w:eastAsia="方正仿宋_GBK" w:cs="宋体"/>
                <w:b w:val="0"/>
                <w:bCs/>
                <w:color w:val="000000"/>
                <w:sz w:val="30"/>
                <w:szCs w:val="30"/>
              </w:rPr>
            </w:pPr>
          </w:p>
        </w:tc>
      </w:tr>
      <w:tr>
        <w:tblPrEx>
          <w:tblCellMar>
            <w:top w:w="0" w:type="dxa"/>
            <w:left w:w="108" w:type="dxa"/>
            <w:bottom w:w="0" w:type="dxa"/>
            <w:right w:w="108" w:type="dxa"/>
          </w:tblCellMar>
        </w:tblPrEx>
        <w:trPr>
          <w:trHeight w:val="555" w:hRule="atLeast"/>
        </w:trPr>
        <w:tc>
          <w:tcPr>
            <w:tcW w:w="960" w:type="pct"/>
            <w:tcBorders>
              <w:top w:val="nil"/>
              <w:left w:val="single" w:color="auto" w:sz="4" w:space="0"/>
              <w:bottom w:val="single" w:color="auto" w:sz="4" w:space="0"/>
              <w:right w:val="single" w:color="auto" w:sz="4" w:space="0"/>
            </w:tcBorders>
            <w:shd w:val="clear" w:color="auto" w:fill="auto"/>
            <w:vAlign w:val="center"/>
          </w:tcPr>
          <w:p>
            <w:pPr>
              <w:jc w:val="center"/>
              <w:rPr>
                <w:rFonts w:hint="default" w:ascii="方正仿宋_GBK" w:eastAsia="方正仿宋_GBK" w:cs="宋体"/>
                <w:b w:val="0"/>
                <w:bCs/>
                <w:color w:val="000000"/>
                <w:sz w:val="30"/>
                <w:szCs w:val="30"/>
              </w:rPr>
            </w:pPr>
            <w:r>
              <w:rPr>
                <w:rFonts w:ascii="方正仿宋_GBK" w:eastAsia="方正仿宋_GBK" w:cs="宋体"/>
                <w:b w:val="0"/>
                <w:bCs/>
                <w:color w:val="000000"/>
                <w:sz w:val="30"/>
                <w:szCs w:val="30"/>
              </w:rPr>
              <w:t>序号</w:t>
            </w:r>
          </w:p>
        </w:tc>
        <w:tc>
          <w:tcPr>
            <w:tcW w:w="2372" w:type="pct"/>
            <w:tcBorders>
              <w:top w:val="nil"/>
              <w:left w:val="nil"/>
              <w:bottom w:val="single" w:color="auto" w:sz="4" w:space="0"/>
              <w:right w:val="single" w:color="auto" w:sz="4" w:space="0"/>
            </w:tcBorders>
            <w:shd w:val="clear" w:color="auto" w:fill="auto"/>
            <w:vAlign w:val="center"/>
          </w:tcPr>
          <w:p>
            <w:pPr>
              <w:jc w:val="center"/>
              <w:rPr>
                <w:rFonts w:hint="default" w:ascii="方正仿宋_GBK" w:eastAsia="方正仿宋_GBK" w:cs="宋体"/>
                <w:b w:val="0"/>
                <w:bCs/>
                <w:color w:val="000000"/>
                <w:sz w:val="30"/>
                <w:szCs w:val="30"/>
              </w:rPr>
            </w:pPr>
            <w:r>
              <w:rPr>
                <w:rFonts w:ascii="方正仿宋_GBK" w:eastAsia="方正仿宋_GBK" w:cs="宋体"/>
                <w:b w:val="0"/>
                <w:bCs/>
                <w:color w:val="000000"/>
                <w:sz w:val="30"/>
                <w:szCs w:val="30"/>
              </w:rPr>
              <w:t>项目名称</w:t>
            </w:r>
          </w:p>
        </w:tc>
        <w:tc>
          <w:tcPr>
            <w:tcW w:w="1667" w:type="pct"/>
            <w:tcBorders>
              <w:top w:val="nil"/>
              <w:left w:val="nil"/>
              <w:bottom w:val="single" w:color="auto" w:sz="4" w:space="0"/>
              <w:right w:val="single" w:color="auto" w:sz="4" w:space="0"/>
            </w:tcBorders>
            <w:shd w:val="clear" w:color="auto" w:fill="auto"/>
            <w:noWrap/>
            <w:vAlign w:val="center"/>
          </w:tcPr>
          <w:p>
            <w:pPr>
              <w:jc w:val="center"/>
              <w:rPr>
                <w:rFonts w:hint="default" w:ascii="方正仿宋_GBK" w:eastAsia="方正仿宋_GBK" w:cs="宋体"/>
                <w:b w:val="0"/>
                <w:bCs/>
                <w:color w:val="000000"/>
                <w:sz w:val="30"/>
                <w:szCs w:val="30"/>
              </w:rPr>
            </w:pPr>
            <w:r>
              <w:rPr>
                <w:rFonts w:ascii="方正仿宋_GBK" w:eastAsia="方正仿宋_GBK" w:cs="宋体"/>
                <w:b w:val="0"/>
                <w:bCs/>
                <w:color w:val="000000"/>
                <w:sz w:val="30"/>
                <w:szCs w:val="30"/>
              </w:rPr>
              <w:t>自评得分</w:t>
            </w:r>
          </w:p>
        </w:tc>
      </w:tr>
      <w:tr>
        <w:tblPrEx>
          <w:tblCellMar>
            <w:top w:w="0" w:type="dxa"/>
            <w:left w:w="108" w:type="dxa"/>
            <w:bottom w:w="0" w:type="dxa"/>
            <w:right w:w="108" w:type="dxa"/>
          </w:tblCellMar>
        </w:tblPrEx>
        <w:trPr>
          <w:trHeight w:val="555" w:hRule="atLeast"/>
        </w:trPr>
        <w:tc>
          <w:tcPr>
            <w:tcW w:w="960" w:type="pct"/>
            <w:tcBorders>
              <w:top w:val="nil"/>
              <w:left w:val="single" w:color="auto" w:sz="4" w:space="0"/>
              <w:bottom w:val="single" w:color="auto" w:sz="4" w:space="0"/>
              <w:right w:val="single" w:color="auto" w:sz="4" w:space="0"/>
            </w:tcBorders>
            <w:shd w:val="clear" w:color="auto" w:fill="auto"/>
            <w:vAlign w:val="center"/>
          </w:tcPr>
          <w:p>
            <w:pPr>
              <w:jc w:val="center"/>
              <w:rPr>
                <w:rFonts w:hint="default" w:ascii="方正仿宋_GBK" w:hAnsi="Times New Roman" w:eastAsia="方正仿宋_GBK"/>
                <w:b w:val="0"/>
                <w:bCs/>
                <w:color w:val="000000"/>
                <w:sz w:val="30"/>
                <w:szCs w:val="30"/>
              </w:rPr>
            </w:pPr>
            <w:r>
              <w:rPr>
                <w:rFonts w:ascii="方正仿宋_GBK" w:hAnsi="Times New Roman" w:eastAsia="方正仿宋_GBK"/>
                <w:b w:val="0"/>
                <w:bCs/>
                <w:color w:val="000000"/>
                <w:sz w:val="30"/>
                <w:szCs w:val="30"/>
              </w:rPr>
              <w:t>1</w:t>
            </w:r>
          </w:p>
        </w:tc>
        <w:tc>
          <w:tcPr>
            <w:tcW w:w="2372" w:type="pct"/>
            <w:tcBorders>
              <w:top w:val="nil"/>
              <w:left w:val="nil"/>
              <w:bottom w:val="single" w:color="auto" w:sz="4" w:space="0"/>
              <w:right w:val="single" w:color="auto" w:sz="4" w:space="0"/>
            </w:tcBorders>
            <w:shd w:val="clear" w:color="auto" w:fill="auto"/>
            <w:vAlign w:val="center"/>
          </w:tcPr>
          <w:p>
            <w:pPr>
              <w:jc w:val="center"/>
              <w:rPr>
                <w:rFonts w:hint="default" w:ascii="方正仿宋_GBK" w:hAnsi="Times New Roman" w:eastAsia="方正仿宋_GBK"/>
                <w:b w:val="0"/>
                <w:bCs/>
                <w:color w:val="000000"/>
                <w:sz w:val="30"/>
                <w:szCs w:val="30"/>
              </w:rPr>
            </w:pPr>
            <w:r>
              <w:rPr>
                <w:rFonts w:hint="default" w:ascii="方正仿宋_GBK" w:hAnsi="Times New Roman" w:eastAsia="方正仿宋_GBK"/>
                <w:b w:val="0"/>
                <w:bCs/>
                <w:color w:val="000000"/>
                <w:sz w:val="30"/>
                <w:szCs w:val="30"/>
              </w:rPr>
              <w:t>安全监管与综合执法</w:t>
            </w:r>
          </w:p>
        </w:tc>
        <w:tc>
          <w:tcPr>
            <w:tcW w:w="1667" w:type="pct"/>
            <w:tcBorders>
              <w:top w:val="nil"/>
              <w:left w:val="nil"/>
              <w:bottom w:val="single" w:color="auto" w:sz="4" w:space="0"/>
              <w:right w:val="single" w:color="auto" w:sz="4" w:space="0"/>
            </w:tcBorders>
            <w:shd w:val="clear" w:color="auto" w:fill="auto"/>
            <w:noWrap/>
            <w:vAlign w:val="center"/>
          </w:tcPr>
          <w:p>
            <w:pPr>
              <w:jc w:val="center"/>
              <w:rPr>
                <w:rFonts w:hint="default" w:ascii="方正仿宋_GBK" w:hAnsi="Times New Roman" w:eastAsia="方正仿宋_GBK"/>
                <w:b w:val="0"/>
                <w:bCs/>
                <w:color w:val="000000"/>
                <w:sz w:val="30"/>
                <w:szCs w:val="30"/>
                <w:lang w:val="en-US"/>
              </w:rPr>
            </w:pPr>
            <w:r>
              <w:rPr>
                <w:rFonts w:hint="eastAsia" w:ascii="方正仿宋_GBK" w:hAnsi="Times New Roman" w:eastAsia="方正仿宋_GBK"/>
                <w:b w:val="0"/>
                <w:bCs/>
                <w:color w:val="000000"/>
                <w:sz w:val="30"/>
                <w:szCs w:val="30"/>
                <w:lang w:val="en-US" w:eastAsia="zh-CN"/>
              </w:rPr>
              <w:t>100</w:t>
            </w:r>
          </w:p>
        </w:tc>
      </w:tr>
    </w:tbl>
    <w:p>
      <w:pPr>
        <w:pStyle w:val="12"/>
        <w:keepNext w:val="0"/>
        <w:keepLines w:val="0"/>
        <w:pageBreakBefore w:val="0"/>
        <w:kinsoku/>
        <w:wordWrap/>
        <w:overflowPunct/>
        <w:topLinePunct w:val="0"/>
        <w:autoSpaceDN/>
        <w:bidi w:val="0"/>
        <w:adjustRightInd/>
        <w:snapToGrid/>
        <w:spacing w:before="0" w:beforeAutospacing="0" w:after="0" w:afterAutospacing="0" w:line="600" w:lineRule="exact"/>
        <w:ind w:firstLine="560"/>
        <w:textAlignment w:val="auto"/>
        <w:rPr>
          <w:rFonts w:hint="eastAsia" w:ascii="方正仿宋_GBK" w:hAnsi="方正仿宋_GBK" w:eastAsia="方正仿宋_GBK" w:cs="方正仿宋_GBK"/>
          <w:b w:val="0"/>
          <w:bCs/>
          <w:sz w:val="32"/>
          <w:szCs w:val="32"/>
          <w:highlight w:val="none"/>
          <w:shd w:val="clear" w:color="auto" w:fill="FFFFFF"/>
        </w:rPr>
      </w:pPr>
      <w:r>
        <w:rPr>
          <w:rFonts w:hint="eastAsia" w:ascii="方正仿宋_GBK" w:hAnsi="方正仿宋_GBK" w:eastAsia="方正仿宋_GBK" w:cs="方正仿宋_GBK"/>
          <w:b w:val="0"/>
          <w:bCs/>
          <w:sz w:val="32"/>
          <w:szCs w:val="32"/>
          <w:highlight w:val="none"/>
          <w:shd w:val="clear" w:color="auto" w:fill="FFFFFF"/>
        </w:rPr>
        <w:t>2.项目支出绩效自评表</w:t>
      </w:r>
    </w:p>
    <w:tbl>
      <w:tblPr>
        <w:tblStyle w:val="7"/>
        <w:tblW w:w="4998" w:type="pct"/>
        <w:tblInd w:w="0" w:type="dxa"/>
        <w:tblLayout w:type="autofit"/>
        <w:tblCellMar>
          <w:top w:w="0" w:type="dxa"/>
          <w:left w:w="108" w:type="dxa"/>
          <w:bottom w:w="0" w:type="dxa"/>
          <w:right w:w="108" w:type="dxa"/>
        </w:tblCellMar>
      </w:tblPr>
      <w:tblGrid>
        <w:gridCol w:w="1124"/>
        <w:gridCol w:w="74"/>
        <w:gridCol w:w="591"/>
        <w:gridCol w:w="694"/>
        <w:gridCol w:w="915"/>
        <w:gridCol w:w="581"/>
        <w:gridCol w:w="561"/>
        <w:gridCol w:w="273"/>
        <w:gridCol w:w="1102"/>
        <w:gridCol w:w="179"/>
        <w:gridCol w:w="642"/>
        <w:gridCol w:w="238"/>
        <w:gridCol w:w="581"/>
        <w:gridCol w:w="819"/>
        <w:gridCol w:w="827"/>
        <w:gridCol w:w="26"/>
      </w:tblGrid>
      <w:tr>
        <w:tblPrEx>
          <w:tblCellMar>
            <w:top w:w="0" w:type="dxa"/>
            <w:left w:w="108" w:type="dxa"/>
            <w:bottom w:w="0" w:type="dxa"/>
            <w:right w:w="108" w:type="dxa"/>
          </w:tblCellMar>
        </w:tblPrEx>
        <w:trPr>
          <w:trHeight w:val="540" w:hRule="atLeast"/>
        </w:trPr>
        <w:tc>
          <w:tcPr>
            <w:tcW w:w="649"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cs="宋体"/>
                <w:b/>
                <w:bCs/>
                <w:color w:val="000000"/>
                <w:sz w:val="18"/>
                <w:szCs w:val="18"/>
              </w:rPr>
            </w:pPr>
            <w:r>
              <w:rPr>
                <w:rFonts w:cs="宋体"/>
                <w:b/>
                <w:bCs/>
                <w:color w:val="000000"/>
                <w:sz w:val="18"/>
                <w:szCs w:val="18"/>
              </w:rPr>
              <w:t>项目名称：</w:t>
            </w:r>
          </w:p>
        </w:tc>
        <w:tc>
          <w:tcPr>
            <w:tcW w:w="1192" w:type="pct"/>
            <w:gridSpan w:val="3"/>
            <w:tcBorders>
              <w:top w:val="single" w:color="auto" w:sz="4" w:space="0"/>
              <w:left w:val="nil"/>
              <w:bottom w:val="single" w:color="auto" w:sz="4" w:space="0"/>
              <w:right w:val="single" w:color="auto" w:sz="4" w:space="0"/>
            </w:tcBorders>
            <w:shd w:val="clear" w:color="auto" w:fill="auto"/>
            <w:vAlign w:val="center"/>
          </w:tcPr>
          <w:p>
            <w:pPr>
              <w:jc w:val="center"/>
              <w:rPr>
                <w:rFonts w:hint="eastAsia" w:eastAsia="宋体" w:cs="宋体"/>
                <w:color w:val="000000"/>
                <w:sz w:val="18"/>
                <w:szCs w:val="18"/>
                <w:lang w:eastAsia="zh-CN"/>
              </w:rPr>
            </w:pPr>
            <w:r>
              <w:rPr>
                <w:rFonts w:hint="eastAsia" w:eastAsia="宋体" w:cs="宋体"/>
                <w:color w:val="000000"/>
                <w:sz w:val="18"/>
                <w:szCs w:val="18"/>
                <w:lang w:eastAsia="zh-CN"/>
              </w:rPr>
              <w:t>安全监管与综合执法</w:t>
            </w:r>
          </w:p>
        </w:tc>
        <w:tc>
          <w:tcPr>
            <w:tcW w:w="619" w:type="pct"/>
            <w:gridSpan w:val="2"/>
            <w:tcBorders>
              <w:top w:val="single" w:color="auto" w:sz="4" w:space="0"/>
              <w:left w:val="nil"/>
              <w:bottom w:val="single" w:color="auto" w:sz="4" w:space="0"/>
              <w:right w:val="single" w:color="auto" w:sz="4" w:space="0"/>
            </w:tcBorders>
            <w:shd w:val="clear" w:color="auto" w:fill="auto"/>
            <w:vAlign w:val="center"/>
          </w:tcPr>
          <w:p>
            <w:pPr>
              <w:jc w:val="center"/>
              <w:rPr>
                <w:rFonts w:hint="default" w:cs="宋体"/>
                <w:b/>
                <w:bCs/>
                <w:color w:val="000000"/>
                <w:sz w:val="18"/>
                <w:szCs w:val="18"/>
              </w:rPr>
            </w:pPr>
            <w:r>
              <w:rPr>
                <w:rFonts w:cs="宋体"/>
                <w:b/>
                <w:bCs/>
                <w:color w:val="000000"/>
                <w:sz w:val="18"/>
                <w:szCs w:val="18"/>
              </w:rPr>
              <w:t>执行率得分：</w:t>
            </w:r>
          </w:p>
        </w:tc>
        <w:tc>
          <w:tcPr>
            <w:tcW w:w="841" w:type="pct"/>
            <w:gridSpan w:val="3"/>
            <w:tcBorders>
              <w:top w:val="single" w:color="auto" w:sz="4" w:space="0"/>
              <w:left w:val="nil"/>
              <w:bottom w:val="single" w:color="auto" w:sz="4" w:space="0"/>
              <w:right w:val="single" w:color="auto" w:sz="4" w:space="0"/>
            </w:tcBorders>
            <w:shd w:val="clear" w:color="auto" w:fill="auto"/>
            <w:vAlign w:val="center"/>
          </w:tcPr>
          <w:p>
            <w:pPr>
              <w:jc w:val="center"/>
              <w:rPr>
                <w:rFonts w:hint="default" w:cs="宋体"/>
                <w:b/>
                <w:bCs/>
                <w:color w:val="000000"/>
                <w:sz w:val="18"/>
                <w:szCs w:val="18"/>
              </w:rPr>
            </w:pPr>
            <w:r>
              <w:rPr>
                <w:rFonts w:hint="eastAsia" w:cs="宋体"/>
                <w:b/>
                <w:bCs/>
                <w:color w:val="000000"/>
                <w:sz w:val="18"/>
                <w:szCs w:val="18"/>
                <w:lang w:val="en-US" w:eastAsia="zh-CN"/>
              </w:rPr>
              <w:t>10</w:t>
            </w:r>
          </w:p>
        </w:tc>
        <w:tc>
          <w:tcPr>
            <w:tcW w:w="477" w:type="pct"/>
            <w:gridSpan w:val="2"/>
            <w:tcBorders>
              <w:top w:val="single" w:color="auto" w:sz="4" w:space="0"/>
              <w:left w:val="nil"/>
              <w:bottom w:val="single" w:color="auto" w:sz="4" w:space="0"/>
              <w:right w:val="single" w:color="auto" w:sz="4" w:space="0"/>
            </w:tcBorders>
            <w:shd w:val="clear" w:color="auto" w:fill="auto"/>
            <w:vAlign w:val="center"/>
          </w:tcPr>
          <w:p>
            <w:pPr>
              <w:jc w:val="center"/>
              <w:rPr>
                <w:rFonts w:hint="default" w:cs="宋体"/>
                <w:b/>
                <w:bCs/>
                <w:color w:val="000000"/>
                <w:sz w:val="18"/>
                <w:szCs w:val="18"/>
              </w:rPr>
            </w:pPr>
            <w:r>
              <w:rPr>
                <w:rFonts w:cs="宋体"/>
                <w:b/>
                <w:bCs/>
                <w:color w:val="000000"/>
                <w:sz w:val="18"/>
                <w:szCs w:val="18"/>
              </w:rPr>
              <w:t>自评总分：</w:t>
            </w:r>
          </w:p>
        </w:tc>
        <w:tc>
          <w:tcPr>
            <w:tcW w:w="1219" w:type="pct"/>
            <w:gridSpan w:val="4"/>
            <w:tcBorders>
              <w:top w:val="single" w:color="auto" w:sz="4" w:space="0"/>
              <w:left w:val="nil"/>
              <w:bottom w:val="single" w:color="auto" w:sz="4" w:space="0"/>
              <w:right w:val="single" w:color="auto" w:sz="4" w:space="0"/>
            </w:tcBorders>
            <w:shd w:val="clear" w:color="auto" w:fill="auto"/>
            <w:vAlign w:val="center"/>
          </w:tcPr>
          <w:p>
            <w:pPr>
              <w:jc w:val="center"/>
              <w:rPr>
                <w:rFonts w:hint="default" w:eastAsia="宋体" w:cs="宋体"/>
                <w:b/>
                <w:bCs/>
                <w:color w:val="000000"/>
                <w:sz w:val="18"/>
                <w:szCs w:val="18"/>
                <w:lang w:val="en-US" w:eastAsia="zh-CN"/>
              </w:rPr>
            </w:pPr>
            <w:r>
              <w:rPr>
                <w:rFonts w:hint="eastAsia" w:cs="宋体"/>
                <w:b/>
                <w:bCs/>
                <w:color w:val="000000"/>
                <w:sz w:val="18"/>
                <w:szCs w:val="18"/>
                <w:lang w:val="en-US" w:eastAsia="zh-CN"/>
              </w:rPr>
              <w:t>100</w:t>
            </w:r>
          </w:p>
        </w:tc>
      </w:tr>
      <w:tr>
        <w:tblPrEx>
          <w:tblCellMar>
            <w:top w:w="0" w:type="dxa"/>
            <w:left w:w="108" w:type="dxa"/>
            <w:bottom w:w="0" w:type="dxa"/>
            <w:right w:w="108" w:type="dxa"/>
          </w:tblCellMar>
        </w:tblPrEx>
        <w:trPr>
          <w:gridAfter w:val="1"/>
          <w:wAfter w:w="14" w:type="pct"/>
          <w:trHeight w:val="435" w:hRule="atLeast"/>
        </w:trPr>
        <w:tc>
          <w:tcPr>
            <w:tcW w:w="4985" w:type="pct"/>
            <w:gridSpan w:val="15"/>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微软雅黑" w:hAnsi="微软雅黑" w:eastAsia="微软雅黑" w:cs="宋体"/>
                <w:b/>
                <w:bCs/>
                <w:sz w:val="18"/>
                <w:szCs w:val="18"/>
              </w:rPr>
            </w:pPr>
            <w:r>
              <w:rPr>
                <w:rFonts w:ascii="微软雅黑" w:hAnsi="微软雅黑" w:eastAsia="微软雅黑" w:cs="宋体"/>
                <w:b/>
                <w:bCs/>
                <w:sz w:val="18"/>
                <w:szCs w:val="18"/>
              </w:rPr>
              <w:t>绩效目标</w:t>
            </w:r>
          </w:p>
        </w:tc>
      </w:tr>
      <w:tr>
        <w:tblPrEx>
          <w:tblCellMar>
            <w:top w:w="0" w:type="dxa"/>
            <w:left w:w="108" w:type="dxa"/>
            <w:bottom w:w="0" w:type="dxa"/>
            <w:right w:w="108" w:type="dxa"/>
          </w:tblCellMar>
        </w:tblPrEx>
        <w:trPr>
          <w:gridAfter w:val="1"/>
          <w:wAfter w:w="14" w:type="pct"/>
          <w:trHeight w:val="435" w:hRule="atLeast"/>
        </w:trPr>
        <w:tc>
          <w:tcPr>
            <w:tcW w:w="1841"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cs="宋体"/>
                <w:b/>
                <w:bCs/>
                <w:sz w:val="18"/>
                <w:szCs w:val="18"/>
              </w:rPr>
            </w:pPr>
            <w:r>
              <w:rPr>
                <w:rFonts w:cs="宋体"/>
                <w:b/>
                <w:bCs/>
                <w:sz w:val="18"/>
                <w:szCs w:val="18"/>
              </w:rPr>
              <w:t>年初绩效目标</w:t>
            </w:r>
          </w:p>
        </w:tc>
        <w:tc>
          <w:tcPr>
            <w:tcW w:w="1461" w:type="pct"/>
            <w:gridSpan w:val="5"/>
            <w:tcBorders>
              <w:top w:val="single" w:color="auto" w:sz="4" w:space="0"/>
              <w:left w:val="nil"/>
              <w:bottom w:val="single" w:color="auto" w:sz="4" w:space="0"/>
              <w:right w:val="single" w:color="auto" w:sz="4" w:space="0"/>
            </w:tcBorders>
            <w:shd w:val="clear" w:color="auto" w:fill="auto"/>
            <w:vAlign w:val="center"/>
          </w:tcPr>
          <w:p>
            <w:pPr>
              <w:jc w:val="center"/>
              <w:rPr>
                <w:rFonts w:hint="default" w:cs="宋体"/>
                <w:b/>
                <w:bCs/>
                <w:sz w:val="18"/>
                <w:szCs w:val="18"/>
              </w:rPr>
            </w:pPr>
            <w:r>
              <w:rPr>
                <w:rFonts w:cs="宋体"/>
                <w:b/>
                <w:bCs/>
                <w:sz w:val="18"/>
                <w:szCs w:val="18"/>
              </w:rPr>
              <w:t>全年（调整）绩效目标</w:t>
            </w:r>
          </w:p>
        </w:tc>
        <w:tc>
          <w:tcPr>
            <w:tcW w:w="1682" w:type="pct"/>
            <w:gridSpan w:val="5"/>
            <w:tcBorders>
              <w:top w:val="single" w:color="auto" w:sz="4" w:space="0"/>
              <w:left w:val="nil"/>
              <w:bottom w:val="single" w:color="auto" w:sz="4" w:space="0"/>
              <w:right w:val="single" w:color="auto" w:sz="4" w:space="0"/>
            </w:tcBorders>
            <w:shd w:val="clear" w:color="auto" w:fill="auto"/>
            <w:vAlign w:val="center"/>
          </w:tcPr>
          <w:p>
            <w:pPr>
              <w:jc w:val="center"/>
              <w:rPr>
                <w:rFonts w:hint="default" w:cs="宋体"/>
                <w:b/>
                <w:bCs/>
                <w:sz w:val="18"/>
                <w:szCs w:val="18"/>
              </w:rPr>
            </w:pPr>
            <w:r>
              <w:rPr>
                <w:rFonts w:cs="宋体"/>
                <w:b/>
                <w:bCs/>
                <w:sz w:val="18"/>
                <w:szCs w:val="18"/>
              </w:rPr>
              <w:t>全年目标实际完成情况</w:t>
            </w:r>
          </w:p>
        </w:tc>
      </w:tr>
      <w:tr>
        <w:tblPrEx>
          <w:tblCellMar>
            <w:top w:w="0" w:type="dxa"/>
            <w:left w:w="108" w:type="dxa"/>
            <w:bottom w:w="0" w:type="dxa"/>
            <w:right w:w="108" w:type="dxa"/>
          </w:tblCellMar>
        </w:tblPrEx>
        <w:trPr>
          <w:gridAfter w:val="1"/>
          <w:wAfter w:w="14" w:type="pct"/>
          <w:trHeight w:val="975" w:hRule="atLeast"/>
        </w:trPr>
        <w:tc>
          <w:tcPr>
            <w:tcW w:w="1841" w:type="pct"/>
            <w:gridSpan w:val="5"/>
            <w:tcBorders>
              <w:top w:val="single" w:color="auto" w:sz="4" w:space="0"/>
              <w:left w:val="single" w:color="auto" w:sz="4" w:space="0"/>
              <w:bottom w:val="single" w:color="auto" w:sz="4" w:space="0"/>
              <w:right w:val="single" w:color="auto" w:sz="4" w:space="0"/>
            </w:tcBorders>
            <w:shd w:val="clear" w:color="auto" w:fill="auto"/>
            <w:vAlign w:val="top"/>
          </w:tcPr>
          <w:p>
            <w:pPr>
              <w:jc w:val="both"/>
              <w:rPr>
                <w:rFonts w:hint="eastAsia" w:eastAsia="宋体" w:cs="宋体"/>
                <w:color w:val="000000"/>
                <w:sz w:val="18"/>
                <w:szCs w:val="18"/>
                <w:lang w:val="en-US" w:eastAsia="zh-CN"/>
              </w:rPr>
            </w:pPr>
            <w:r>
              <w:rPr>
                <w:rFonts w:hint="eastAsia" w:eastAsia="宋体" w:cs="宋体"/>
                <w:color w:val="000000"/>
                <w:sz w:val="18"/>
                <w:szCs w:val="18"/>
                <w:lang w:val="en-US" w:eastAsia="zh-CN"/>
              </w:rPr>
              <w:t>抓好综合行政执法工作，定期和不定期开展道路交通、林业、违法建筑、消防、劳动保障等宣传和执法经强制工作。通过数字化执法平台，减少执法程序，加快执法的处置速度。</w:t>
            </w:r>
          </w:p>
          <w:p>
            <w:pPr>
              <w:jc w:val="both"/>
              <w:rPr>
                <w:rFonts w:hint="default" w:cs="宋体"/>
                <w:sz w:val="18"/>
                <w:szCs w:val="18"/>
              </w:rPr>
            </w:pPr>
          </w:p>
        </w:tc>
        <w:tc>
          <w:tcPr>
            <w:tcW w:w="1461" w:type="pct"/>
            <w:gridSpan w:val="5"/>
            <w:tcBorders>
              <w:top w:val="single" w:color="auto" w:sz="4" w:space="0"/>
              <w:left w:val="nil"/>
              <w:bottom w:val="single" w:color="auto" w:sz="4" w:space="0"/>
              <w:right w:val="single" w:color="auto" w:sz="4" w:space="0"/>
            </w:tcBorders>
            <w:shd w:val="clear" w:color="auto" w:fill="auto"/>
            <w:vAlign w:val="top"/>
          </w:tcPr>
          <w:p>
            <w:pPr>
              <w:jc w:val="both"/>
              <w:rPr>
                <w:rFonts w:hint="default" w:eastAsia="宋体" w:cs="宋体"/>
                <w:color w:val="000000"/>
                <w:sz w:val="18"/>
                <w:szCs w:val="18"/>
                <w:lang w:val="en-US" w:eastAsia="zh-CN"/>
              </w:rPr>
            </w:pPr>
            <w:r>
              <w:rPr>
                <w:rFonts w:hint="eastAsia" w:eastAsia="宋体" w:cs="宋体"/>
                <w:color w:val="000000"/>
                <w:sz w:val="18"/>
                <w:szCs w:val="18"/>
                <w:lang w:val="en-US" w:eastAsia="zh-CN"/>
              </w:rPr>
              <w:t>抓好综合行政执法工作，定期和不定期开展道路交通、林业、违法建筑、消防、劳动保障等宣传和执法经强制工作。通过数字化执法平台，减少执法程序，加快执法的处置速度。</w:t>
            </w:r>
          </w:p>
        </w:tc>
        <w:tc>
          <w:tcPr>
            <w:tcW w:w="1682" w:type="pct"/>
            <w:gridSpan w:val="5"/>
            <w:tcBorders>
              <w:top w:val="single" w:color="auto" w:sz="4" w:space="0"/>
              <w:left w:val="nil"/>
              <w:bottom w:val="single" w:color="auto" w:sz="4" w:space="0"/>
              <w:right w:val="single" w:color="auto" w:sz="4" w:space="0"/>
            </w:tcBorders>
            <w:shd w:val="clear" w:color="auto" w:fill="auto"/>
            <w:vAlign w:val="top"/>
          </w:tcPr>
          <w:p>
            <w:pPr>
              <w:jc w:val="both"/>
              <w:rPr>
                <w:rFonts w:hint="eastAsia" w:eastAsia="宋体" w:cs="宋体"/>
                <w:color w:val="000000"/>
                <w:sz w:val="18"/>
                <w:szCs w:val="18"/>
                <w:lang w:val="en-US" w:eastAsia="zh-CN"/>
              </w:rPr>
            </w:pPr>
            <w:r>
              <w:rPr>
                <w:rFonts w:hint="eastAsia" w:eastAsia="宋体" w:cs="宋体"/>
                <w:color w:val="000000"/>
                <w:sz w:val="18"/>
                <w:szCs w:val="18"/>
                <w:lang w:val="en-US" w:eastAsia="zh-CN"/>
              </w:rPr>
              <w:t>违法建筑拆除完成率达到91%，对于收到的投诉及时处理，按时开展道路安全、消防安全执法。</w:t>
            </w:r>
          </w:p>
          <w:p>
            <w:pPr>
              <w:jc w:val="both"/>
              <w:rPr>
                <w:rFonts w:hint="eastAsia" w:eastAsia="宋体" w:cs="宋体"/>
                <w:color w:val="000000"/>
                <w:sz w:val="18"/>
                <w:szCs w:val="18"/>
                <w:lang w:val="en-US" w:eastAsia="zh-CN"/>
              </w:rPr>
            </w:pPr>
          </w:p>
          <w:p>
            <w:pPr>
              <w:jc w:val="both"/>
              <w:rPr>
                <w:rFonts w:hint="default" w:eastAsia="宋体" w:cs="宋体"/>
                <w:color w:val="000000"/>
                <w:sz w:val="18"/>
                <w:szCs w:val="18"/>
                <w:lang w:val="en-US" w:eastAsia="zh-CN"/>
              </w:rPr>
            </w:pPr>
          </w:p>
        </w:tc>
      </w:tr>
      <w:tr>
        <w:tblPrEx>
          <w:tblCellMar>
            <w:top w:w="0" w:type="dxa"/>
            <w:left w:w="108" w:type="dxa"/>
            <w:bottom w:w="0" w:type="dxa"/>
            <w:right w:w="108" w:type="dxa"/>
          </w:tblCellMar>
        </w:tblPrEx>
        <w:trPr>
          <w:gridAfter w:val="1"/>
          <w:wAfter w:w="14" w:type="pct"/>
          <w:trHeight w:val="435" w:hRule="atLeast"/>
        </w:trPr>
        <w:tc>
          <w:tcPr>
            <w:tcW w:w="4985" w:type="pct"/>
            <w:gridSpan w:val="15"/>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微软雅黑" w:hAnsi="微软雅黑" w:eastAsia="微软雅黑" w:cs="宋体"/>
                <w:b/>
                <w:bCs/>
                <w:sz w:val="18"/>
                <w:szCs w:val="18"/>
              </w:rPr>
            </w:pPr>
            <w:r>
              <w:rPr>
                <w:rFonts w:ascii="微软雅黑" w:hAnsi="微软雅黑" w:eastAsia="微软雅黑" w:cs="宋体"/>
                <w:b/>
                <w:bCs/>
                <w:sz w:val="18"/>
                <w:szCs w:val="18"/>
              </w:rPr>
              <w:t>绩效指标</w:t>
            </w:r>
          </w:p>
        </w:tc>
      </w:tr>
      <w:tr>
        <w:tblPrEx>
          <w:tblCellMar>
            <w:top w:w="0" w:type="dxa"/>
            <w:left w:w="108" w:type="dxa"/>
            <w:bottom w:w="0" w:type="dxa"/>
            <w:right w:w="108" w:type="dxa"/>
          </w:tblCellMar>
        </w:tblPrEx>
        <w:trPr>
          <w:gridAfter w:val="1"/>
          <w:wAfter w:w="14" w:type="pct"/>
          <w:trHeight w:val="1080" w:hRule="atLeast"/>
        </w:trPr>
        <w:tc>
          <w:tcPr>
            <w:tcW w:w="609" w:type="pct"/>
            <w:tcBorders>
              <w:top w:val="nil"/>
              <w:left w:val="single" w:color="auto" w:sz="4" w:space="0"/>
              <w:bottom w:val="single" w:color="auto" w:sz="4" w:space="0"/>
              <w:right w:val="single" w:color="auto" w:sz="4" w:space="0"/>
            </w:tcBorders>
            <w:shd w:val="clear" w:color="auto" w:fill="auto"/>
            <w:vAlign w:val="center"/>
          </w:tcPr>
          <w:p>
            <w:pPr>
              <w:jc w:val="center"/>
              <w:rPr>
                <w:rFonts w:hint="default" w:cs="宋体"/>
                <w:b/>
                <w:bCs/>
                <w:color w:val="000000"/>
                <w:sz w:val="18"/>
                <w:szCs w:val="18"/>
              </w:rPr>
            </w:pPr>
            <w:r>
              <w:rPr>
                <w:rFonts w:cs="宋体"/>
                <w:b/>
                <w:bCs/>
                <w:color w:val="000000"/>
                <w:sz w:val="18"/>
                <w:szCs w:val="18"/>
              </w:rPr>
              <w:t>指标名称</w:t>
            </w:r>
          </w:p>
        </w:tc>
        <w:tc>
          <w:tcPr>
            <w:tcW w:w="360" w:type="pct"/>
            <w:gridSpan w:val="2"/>
            <w:tcBorders>
              <w:top w:val="nil"/>
              <w:left w:val="nil"/>
              <w:bottom w:val="single" w:color="auto" w:sz="4" w:space="0"/>
              <w:right w:val="single" w:color="auto" w:sz="4" w:space="0"/>
            </w:tcBorders>
            <w:shd w:val="clear" w:color="auto" w:fill="auto"/>
            <w:vAlign w:val="center"/>
          </w:tcPr>
          <w:p>
            <w:pPr>
              <w:jc w:val="center"/>
              <w:rPr>
                <w:rFonts w:hint="default" w:cs="宋体"/>
                <w:b/>
                <w:bCs/>
                <w:color w:val="000000"/>
                <w:sz w:val="18"/>
                <w:szCs w:val="18"/>
              </w:rPr>
            </w:pPr>
            <w:r>
              <w:rPr>
                <w:rFonts w:cs="宋体"/>
                <w:b/>
                <w:bCs/>
                <w:color w:val="000000"/>
                <w:sz w:val="18"/>
                <w:szCs w:val="18"/>
              </w:rPr>
              <w:t>计量单位</w:t>
            </w:r>
          </w:p>
        </w:tc>
        <w:tc>
          <w:tcPr>
            <w:tcW w:w="376" w:type="pct"/>
            <w:tcBorders>
              <w:top w:val="nil"/>
              <w:left w:val="nil"/>
              <w:bottom w:val="single" w:color="auto" w:sz="4" w:space="0"/>
              <w:right w:val="single" w:color="auto" w:sz="4" w:space="0"/>
            </w:tcBorders>
            <w:shd w:val="clear" w:color="auto" w:fill="auto"/>
            <w:vAlign w:val="center"/>
          </w:tcPr>
          <w:p>
            <w:pPr>
              <w:jc w:val="center"/>
              <w:rPr>
                <w:rFonts w:hint="default" w:cs="宋体"/>
                <w:b/>
                <w:bCs/>
                <w:color w:val="000000"/>
                <w:sz w:val="18"/>
                <w:szCs w:val="18"/>
              </w:rPr>
            </w:pPr>
            <w:r>
              <w:rPr>
                <w:rFonts w:cs="宋体"/>
                <w:b/>
                <w:bCs/>
                <w:color w:val="000000"/>
                <w:sz w:val="18"/>
                <w:szCs w:val="18"/>
              </w:rPr>
              <w:t>指标性质</w:t>
            </w:r>
          </w:p>
        </w:tc>
        <w:tc>
          <w:tcPr>
            <w:tcW w:w="495" w:type="pct"/>
            <w:tcBorders>
              <w:top w:val="nil"/>
              <w:left w:val="nil"/>
              <w:bottom w:val="single" w:color="auto" w:sz="4" w:space="0"/>
              <w:right w:val="single" w:color="auto" w:sz="4" w:space="0"/>
            </w:tcBorders>
            <w:shd w:val="clear" w:color="auto" w:fill="auto"/>
            <w:vAlign w:val="center"/>
          </w:tcPr>
          <w:p>
            <w:pPr>
              <w:jc w:val="center"/>
              <w:rPr>
                <w:rFonts w:hint="default" w:cs="宋体"/>
                <w:b/>
                <w:bCs/>
                <w:color w:val="000000"/>
                <w:sz w:val="18"/>
                <w:szCs w:val="18"/>
              </w:rPr>
            </w:pPr>
            <w:r>
              <w:rPr>
                <w:rFonts w:cs="宋体"/>
                <w:b/>
                <w:bCs/>
                <w:color w:val="000000"/>
                <w:sz w:val="18"/>
                <w:szCs w:val="18"/>
              </w:rPr>
              <w:t>指标值</w:t>
            </w:r>
          </w:p>
        </w:tc>
        <w:tc>
          <w:tcPr>
            <w:tcW w:w="315" w:type="pct"/>
            <w:tcBorders>
              <w:top w:val="nil"/>
              <w:left w:val="nil"/>
              <w:bottom w:val="single" w:color="auto" w:sz="4" w:space="0"/>
              <w:right w:val="single" w:color="auto" w:sz="4" w:space="0"/>
            </w:tcBorders>
            <w:shd w:val="clear" w:color="auto" w:fill="auto"/>
            <w:vAlign w:val="center"/>
          </w:tcPr>
          <w:p>
            <w:pPr>
              <w:jc w:val="center"/>
              <w:rPr>
                <w:rFonts w:hint="default" w:cs="宋体"/>
                <w:b/>
                <w:bCs/>
                <w:color w:val="000000"/>
                <w:sz w:val="18"/>
                <w:szCs w:val="18"/>
              </w:rPr>
            </w:pPr>
            <w:r>
              <w:rPr>
                <w:rFonts w:cs="宋体"/>
                <w:b/>
                <w:bCs/>
                <w:color w:val="000000"/>
                <w:sz w:val="18"/>
                <w:szCs w:val="18"/>
              </w:rPr>
              <w:t>全年完成值</w:t>
            </w:r>
          </w:p>
        </w:tc>
        <w:tc>
          <w:tcPr>
            <w:tcW w:w="452" w:type="pct"/>
            <w:gridSpan w:val="2"/>
            <w:tcBorders>
              <w:top w:val="nil"/>
              <w:left w:val="nil"/>
              <w:bottom w:val="single" w:color="auto" w:sz="4" w:space="0"/>
              <w:right w:val="single" w:color="auto" w:sz="4" w:space="0"/>
            </w:tcBorders>
            <w:shd w:val="clear" w:color="auto" w:fill="auto"/>
            <w:vAlign w:val="center"/>
          </w:tcPr>
          <w:p>
            <w:pPr>
              <w:jc w:val="center"/>
              <w:rPr>
                <w:rFonts w:hint="default" w:cs="宋体"/>
                <w:b/>
                <w:bCs/>
                <w:color w:val="000000"/>
                <w:sz w:val="18"/>
                <w:szCs w:val="18"/>
              </w:rPr>
            </w:pPr>
            <w:r>
              <w:rPr>
                <w:rFonts w:cs="宋体"/>
                <w:b/>
                <w:bCs/>
                <w:color w:val="000000"/>
                <w:sz w:val="18"/>
                <w:szCs w:val="18"/>
              </w:rPr>
              <w:t>偏离度（%）</w:t>
            </w:r>
          </w:p>
        </w:tc>
        <w:tc>
          <w:tcPr>
            <w:tcW w:w="597" w:type="pct"/>
            <w:tcBorders>
              <w:top w:val="nil"/>
              <w:left w:val="nil"/>
              <w:bottom w:val="single" w:color="auto" w:sz="4" w:space="0"/>
              <w:right w:val="single" w:color="auto" w:sz="4" w:space="0"/>
            </w:tcBorders>
            <w:shd w:val="clear" w:color="auto" w:fill="auto"/>
            <w:vAlign w:val="center"/>
          </w:tcPr>
          <w:p>
            <w:pPr>
              <w:jc w:val="center"/>
              <w:rPr>
                <w:rFonts w:hint="default" w:cs="宋体"/>
                <w:b/>
                <w:bCs/>
                <w:color w:val="000000"/>
                <w:sz w:val="18"/>
                <w:szCs w:val="18"/>
              </w:rPr>
            </w:pPr>
            <w:r>
              <w:rPr>
                <w:rFonts w:cs="宋体"/>
                <w:b/>
                <w:bCs/>
                <w:color w:val="000000"/>
                <w:sz w:val="18"/>
                <w:szCs w:val="18"/>
              </w:rPr>
              <w:t>得分系数（%）</w:t>
            </w:r>
          </w:p>
        </w:tc>
        <w:tc>
          <w:tcPr>
            <w:tcW w:w="444" w:type="pct"/>
            <w:gridSpan w:val="2"/>
            <w:tcBorders>
              <w:top w:val="nil"/>
              <w:left w:val="nil"/>
              <w:bottom w:val="single" w:color="auto" w:sz="4" w:space="0"/>
              <w:right w:val="single" w:color="auto" w:sz="4" w:space="0"/>
            </w:tcBorders>
            <w:shd w:val="clear" w:color="auto" w:fill="auto"/>
            <w:vAlign w:val="center"/>
          </w:tcPr>
          <w:p>
            <w:pPr>
              <w:jc w:val="center"/>
              <w:rPr>
                <w:rFonts w:hint="default" w:cs="宋体"/>
                <w:b/>
                <w:bCs/>
                <w:color w:val="000000"/>
                <w:sz w:val="18"/>
                <w:szCs w:val="18"/>
              </w:rPr>
            </w:pPr>
            <w:r>
              <w:rPr>
                <w:rFonts w:cs="宋体"/>
                <w:b/>
                <w:bCs/>
                <w:color w:val="000000"/>
                <w:sz w:val="18"/>
                <w:szCs w:val="18"/>
              </w:rPr>
              <w:t>指标权重</w:t>
            </w:r>
          </w:p>
        </w:tc>
        <w:tc>
          <w:tcPr>
            <w:tcW w:w="444" w:type="pct"/>
            <w:gridSpan w:val="2"/>
            <w:tcBorders>
              <w:top w:val="nil"/>
              <w:left w:val="nil"/>
              <w:bottom w:val="single" w:color="auto" w:sz="4" w:space="0"/>
              <w:right w:val="single" w:color="auto" w:sz="4" w:space="0"/>
            </w:tcBorders>
            <w:shd w:val="clear" w:color="auto" w:fill="auto"/>
            <w:vAlign w:val="center"/>
          </w:tcPr>
          <w:p>
            <w:pPr>
              <w:jc w:val="center"/>
              <w:rPr>
                <w:rFonts w:hint="default" w:cs="宋体"/>
                <w:b/>
                <w:bCs/>
                <w:color w:val="000000"/>
                <w:sz w:val="18"/>
                <w:szCs w:val="18"/>
              </w:rPr>
            </w:pPr>
            <w:r>
              <w:rPr>
                <w:rFonts w:cs="宋体"/>
                <w:b/>
                <w:bCs/>
                <w:color w:val="000000"/>
                <w:sz w:val="18"/>
                <w:szCs w:val="18"/>
              </w:rPr>
              <w:t>指标得分</w:t>
            </w:r>
          </w:p>
        </w:tc>
        <w:tc>
          <w:tcPr>
            <w:tcW w:w="444" w:type="pct"/>
            <w:tcBorders>
              <w:top w:val="nil"/>
              <w:left w:val="nil"/>
              <w:bottom w:val="single" w:color="auto" w:sz="4" w:space="0"/>
              <w:right w:val="single" w:color="auto" w:sz="4" w:space="0"/>
            </w:tcBorders>
            <w:shd w:val="clear" w:color="auto" w:fill="auto"/>
            <w:vAlign w:val="center"/>
          </w:tcPr>
          <w:p>
            <w:pPr>
              <w:jc w:val="center"/>
              <w:rPr>
                <w:rFonts w:hint="default" w:cs="宋体"/>
                <w:b/>
                <w:bCs/>
                <w:color w:val="000000"/>
                <w:sz w:val="18"/>
                <w:szCs w:val="18"/>
              </w:rPr>
            </w:pPr>
            <w:r>
              <w:rPr>
                <w:rFonts w:cs="宋体"/>
                <w:b/>
                <w:bCs/>
                <w:color w:val="000000"/>
                <w:sz w:val="18"/>
                <w:szCs w:val="18"/>
              </w:rPr>
              <w:t>是否核心指标</w:t>
            </w:r>
          </w:p>
        </w:tc>
        <w:tc>
          <w:tcPr>
            <w:tcW w:w="445" w:type="pct"/>
            <w:tcBorders>
              <w:top w:val="nil"/>
              <w:left w:val="nil"/>
              <w:bottom w:val="single" w:color="auto" w:sz="4" w:space="0"/>
              <w:right w:val="single" w:color="auto" w:sz="4" w:space="0"/>
            </w:tcBorders>
            <w:shd w:val="clear" w:color="auto" w:fill="auto"/>
            <w:vAlign w:val="center"/>
          </w:tcPr>
          <w:p>
            <w:pPr>
              <w:jc w:val="center"/>
              <w:rPr>
                <w:rFonts w:hint="default" w:cs="宋体"/>
                <w:b/>
                <w:bCs/>
                <w:color w:val="000000"/>
                <w:sz w:val="18"/>
                <w:szCs w:val="18"/>
              </w:rPr>
            </w:pPr>
            <w:r>
              <w:rPr>
                <w:rFonts w:cs="宋体"/>
                <w:b/>
                <w:bCs/>
                <w:color w:val="000000"/>
                <w:sz w:val="18"/>
                <w:szCs w:val="18"/>
              </w:rPr>
              <w:t>说明</w:t>
            </w:r>
          </w:p>
        </w:tc>
      </w:tr>
      <w:tr>
        <w:tblPrEx>
          <w:tblCellMar>
            <w:top w:w="0" w:type="dxa"/>
            <w:left w:w="108" w:type="dxa"/>
            <w:bottom w:w="0" w:type="dxa"/>
            <w:right w:w="108" w:type="dxa"/>
          </w:tblCellMar>
        </w:tblPrEx>
        <w:trPr>
          <w:gridAfter w:val="1"/>
          <w:wAfter w:w="14" w:type="pct"/>
          <w:trHeight w:val="921" w:hRule="atLeast"/>
        </w:trPr>
        <w:tc>
          <w:tcPr>
            <w:tcW w:w="609" w:type="pct"/>
            <w:tcBorders>
              <w:top w:val="nil"/>
              <w:left w:val="single" w:color="auto" w:sz="4" w:space="0"/>
              <w:bottom w:val="single" w:color="auto" w:sz="4" w:space="0"/>
              <w:right w:val="single" w:color="auto" w:sz="4" w:space="0"/>
            </w:tcBorders>
            <w:shd w:val="clear" w:color="auto" w:fill="auto"/>
            <w:vAlign w:val="center"/>
          </w:tcPr>
          <w:p>
            <w:pPr>
              <w:jc w:val="center"/>
              <w:rPr>
                <w:rFonts w:hint="default" w:eastAsia="宋体" w:cs="宋体"/>
                <w:color w:val="000000"/>
                <w:sz w:val="18"/>
                <w:szCs w:val="18"/>
                <w:lang w:val="en-US" w:eastAsia="zh-CN"/>
              </w:rPr>
            </w:pPr>
            <w:r>
              <w:rPr>
                <w:rFonts w:hint="eastAsia" w:eastAsia="宋体" w:cs="宋体"/>
                <w:color w:val="000000"/>
                <w:sz w:val="18"/>
                <w:szCs w:val="18"/>
                <w:lang w:val="en-US" w:eastAsia="zh-CN"/>
              </w:rPr>
              <w:t>违法建筑拆除完成率</w:t>
            </w:r>
          </w:p>
        </w:tc>
        <w:tc>
          <w:tcPr>
            <w:tcW w:w="360" w:type="pct"/>
            <w:gridSpan w:val="2"/>
            <w:tcBorders>
              <w:top w:val="nil"/>
              <w:left w:val="nil"/>
              <w:bottom w:val="single" w:color="auto" w:sz="4" w:space="0"/>
              <w:right w:val="single" w:color="auto" w:sz="4" w:space="0"/>
            </w:tcBorders>
            <w:shd w:val="clear" w:color="auto" w:fill="auto"/>
            <w:vAlign w:val="center"/>
          </w:tcPr>
          <w:p>
            <w:pPr>
              <w:jc w:val="center"/>
              <w:rPr>
                <w:rFonts w:hint="default" w:eastAsia="宋体" w:cs="宋体"/>
                <w:color w:val="000000"/>
                <w:sz w:val="18"/>
                <w:szCs w:val="18"/>
                <w:lang w:val="en-US" w:eastAsia="zh-CN"/>
              </w:rPr>
            </w:pPr>
            <w:r>
              <w:rPr>
                <w:rFonts w:hint="eastAsia" w:cs="宋体"/>
                <w:color w:val="000000"/>
                <w:sz w:val="18"/>
                <w:szCs w:val="18"/>
                <w:lang w:val="en-US" w:eastAsia="zh-CN"/>
              </w:rPr>
              <w:t>%</w:t>
            </w:r>
          </w:p>
        </w:tc>
        <w:tc>
          <w:tcPr>
            <w:tcW w:w="376" w:type="pct"/>
            <w:tcBorders>
              <w:top w:val="nil"/>
              <w:left w:val="nil"/>
              <w:bottom w:val="single" w:color="auto" w:sz="4" w:space="0"/>
              <w:right w:val="single" w:color="auto" w:sz="4" w:space="0"/>
            </w:tcBorders>
            <w:shd w:val="clear" w:color="auto" w:fill="auto"/>
            <w:vAlign w:val="center"/>
          </w:tcPr>
          <w:p>
            <w:pPr>
              <w:jc w:val="center"/>
              <w:rPr>
                <w:rFonts w:hint="default" w:eastAsia="宋体" w:cs="宋体"/>
                <w:color w:val="000000"/>
                <w:sz w:val="18"/>
                <w:szCs w:val="18"/>
                <w:lang w:val="en-US" w:eastAsia="zh-CN"/>
              </w:rPr>
            </w:pPr>
            <w:r>
              <w:rPr>
                <w:rFonts w:hint="eastAsia" w:cs="宋体"/>
                <w:color w:val="000000"/>
                <w:sz w:val="18"/>
                <w:szCs w:val="18"/>
                <w:lang w:val="en-US" w:eastAsia="zh-CN"/>
              </w:rPr>
              <w:t>≥</w:t>
            </w:r>
          </w:p>
        </w:tc>
        <w:tc>
          <w:tcPr>
            <w:tcW w:w="495" w:type="pct"/>
            <w:tcBorders>
              <w:top w:val="nil"/>
              <w:left w:val="nil"/>
              <w:bottom w:val="single" w:color="auto" w:sz="4" w:space="0"/>
              <w:right w:val="single" w:color="auto" w:sz="4" w:space="0"/>
            </w:tcBorders>
            <w:shd w:val="clear" w:color="auto" w:fill="auto"/>
            <w:vAlign w:val="center"/>
          </w:tcPr>
          <w:p>
            <w:pPr>
              <w:jc w:val="center"/>
              <w:rPr>
                <w:rFonts w:hint="default" w:eastAsia="宋体" w:cs="宋体"/>
                <w:color w:val="000000"/>
                <w:sz w:val="18"/>
                <w:szCs w:val="18"/>
                <w:lang w:val="en-US" w:eastAsia="zh-CN"/>
              </w:rPr>
            </w:pPr>
            <w:r>
              <w:rPr>
                <w:rFonts w:hint="eastAsia" w:cs="宋体"/>
                <w:color w:val="000000"/>
                <w:sz w:val="18"/>
                <w:szCs w:val="18"/>
                <w:lang w:val="en-US" w:eastAsia="zh-CN"/>
              </w:rPr>
              <w:t>85</w:t>
            </w:r>
          </w:p>
        </w:tc>
        <w:tc>
          <w:tcPr>
            <w:tcW w:w="315" w:type="pct"/>
            <w:tcBorders>
              <w:top w:val="nil"/>
              <w:left w:val="nil"/>
              <w:bottom w:val="single" w:color="auto" w:sz="4" w:space="0"/>
              <w:right w:val="single" w:color="auto" w:sz="4" w:space="0"/>
            </w:tcBorders>
            <w:shd w:val="clear" w:color="auto" w:fill="auto"/>
            <w:vAlign w:val="center"/>
          </w:tcPr>
          <w:p>
            <w:pPr>
              <w:jc w:val="center"/>
              <w:rPr>
                <w:rFonts w:hint="default" w:eastAsia="宋体" w:cs="宋体"/>
                <w:color w:val="000000"/>
                <w:sz w:val="18"/>
                <w:szCs w:val="18"/>
                <w:lang w:val="en-US" w:eastAsia="zh-CN"/>
              </w:rPr>
            </w:pPr>
            <w:r>
              <w:rPr>
                <w:rFonts w:hint="eastAsia" w:cs="宋体"/>
                <w:color w:val="000000"/>
                <w:sz w:val="18"/>
                <w:szCs w:val="18"/>
                <w:lang w:val="en-US" w:eastAsia="zh-CN"/>
              </w:rPr>
              <w:t>91</w:t>
            </w:r>
          </w:p>
        </w:tc>
        <w:tc>
          <w:tcPr>
            <w:tcW w:w="452" w:type="pct"/>
            <w:gridSpan w:val="2"/>
            <w:tcBorders>
              <w:top w:val="nil"/>
              <w:left w:val="nil"/>
              <w:bottom w:val="single" w:color="auto" w:sz="4" w:space="0"/>
              <w:right w:val="single" w:color="auto" w:sz="4" w:space="0"/>
            </w:tcBorders>
            <w:shd w:val="clear" w:color="auto" w:fill="auto"/>
            <w:vAlign w:val="center"/>
          </w:tcPr>
          <w:p>
            <w:pPr>
              <w:jc w:val="center"/>
              <w:rPr>
                <w:rFonts w:hint="default" w:eastAsia="宋体" w:cs="宋体"/>
                <w:color w:val="000000"/>
                <w:sz w:val="18"/>
                <w:szCs w:val="18"/>
                <w:lang w:val="en-US" w:eastAsia="zh-CN"/>
              </w:rPr>
            </w:pPr>
            <w:r>
              <w:rPr>
                <w:rFonts w:hint="eastAsia" w:cs="宋体"/>
                <w:color w:val="000000"/>
                <w:sz w:val="18"/>
                <w:szCs w:val="18"/>
                <w:lang w:val="en-US" w:eastAsia="zh-CN"/>
              </w:rPr>
              <w:t>7.06</w:t>
            </w:r>
          </w:p>
        </w:tc>
        <w:tc>
          <w:tcPr>
            <w:tcW w:w="597" w:type="pct"/>
            <w:tcBorders>
              <w:top w:val="nil"/>
              <w:left w:val="nil"/>
              <w:bottom w:val="single" w:color="auto" w:sz="4" w:space="0"/>
              <w:right w:val="single" w:color="auto" w:sz="4" w:space="0"/>
            </w:tcBorders>
            <w:shd w:val="clear" w:color="auto" w:fill="auto"/>
            <w:vAlign w:val="center"/>
          </w:tcPr>
          <w:p>
            <w:pPr>
              <w:jc w:val="center"/>
              <w:rPr>
                <w:rFonts w:hint="default" w:eastAsia="宋体" w:cs="宋体"/>
                <w:color w:val="000000"/>
                <w:sz w:val="18"/>
                <w:szCs w:val="18"/>
                <w:lang w:val="en-US" w:eastAsia="zh-CN"/>
              </w:rPr>
            </w:pPr>
            <w:r>
              <w:rPr>
                <w:rFonts w:hint="eastAsia" w:cs="宋体"/>
                <w:color w:val="000000"/>
                <w:sz w:val="18"/>
                <w:szCs w:val="18"/>
                <w:lang w:val="en-US" w:eastAsia="zh-CN"/>
              </w:rPr>
              <w:t>100</w:t>
            </w:r>
          </w:p>
        </w:tc>
        <w:tc>
          <w:tcPr>
            <w:tcW w:w="444" w:type="pct"/>
            <w:gridSpan w:val="2"/>
            <w:tcBorders>
              <w:top w:val="nil"/>
              <w:left w:val="nil"/>
              <w:bottom w:val="single" w:color="auto" w:sz="4" w:space="0"/>
              <w:right w:val="single" w:color="auto" w:sz="4" w:space="0"/>
            </w:tcBorders>
            <w:shd w:val="clear" w:color="auto" w:fill="auto"/>
            <w:vAlign w:val="center"/>
          </w:tcPr>
          <w:p>
            <w:pPr>
              <w:jc w:val="center"/>
              <w:rPr>
                <w:rFonts w:hint="default" w:eastAsia="宋体" w:cs="宋体"/>
                <w:color w:val="000000"/>
                <w:sz w:val="18"/>
                <w:szCs w:val="18"/>
                <w:lang w:val="en-US" w:eastAsia="zh-CN"/>
              </w:rPr>
            </w:pPr>
            <w:r>
              <w:rPr>
                <w:rFonts w:hint="eastAsia" w:cs="宋体"/>
                <w:color w:val="000000"/>
                <w:sz w:val="18"/>
                <w:szCs w:val="18"/>
                <w:lang w:val="en-US" w:eastAsia="zh-CN"/>
              </w:rPr>
              <w:t>20</w:t>
            </w:r>
          </w:p>
        </w:tc>
        <w:tc>
          <w:tcPr>
            <w:tcW w:w="444" w:type="pct"/>
            <w:gridSpan w:val="2"/>
            <w:tcBorders>
              <w:top w:val="nil"/>
              <w:left w:val="nil"/>
              <w:bottom w:val="single" w:color="auto" w:sz="4" w:space="0"/>
              <w:right w:val="single" w:color="auto" w:sz="4" w:space="0"/>
            </w:tcBorders>
            <w:shd w:val="clear" w:color="auto" w:fill="auto"/>
            <w:vAlign w:val="center"/>
          </w:tcPr>
          <w:p>
            <w:pPr>
              <w:jc w:val="center"/>
              <w:rPr>
                <w:rFonts w:hint="default" w:eastAsia="宋体" w:cs="宋体"/>
                <w:color w:val="000000"/>
                <w:sz w:val="18"/>
                <w:szCs w:val="18"/>
                <w:lang w:val="en-US" w:eastAsia="zh-CN"/>
              </w:rPr>
            </w:pPr>
            <w:r>
              <w:rPr>
                <w:rFonts w:hint="eastAsia" w:cs="宋体"/>
                <w:color w:val="000000"/>
                <w:sz w:val="18"/>
                <w:szCs w:val="18"/>
                <w:lang w:val="en-US" w:eastAsia="zh-CN"/>
              </w:rPr>
              <w:t>20.00</w:t>
            </w:r>
          </w:p>
        </w:tc>
        <w:tc>
          <w:tcPr>
            <w:tcW w:w="444" w:type="pct"/>
            <w:tcBorders>
              <w:top w:val="nil"/>
              <w:left w:val="nil"/>
              <w:bottom w:val="single" w:color="auto" w:sz="4" w:space="0"/>
              <w:right w:val="single" w:color="auto" w:sz="4" w:space="0"/>
            </w:tcBorders>
            <w:shd w:val="clear" w:color="auto" w:fill="auto"/>
            <w:vAlign w:val="center"/>
          </w:tcPr>
          <w:p>
            <w:pPr>
              <w:jc w:val="center"/>
              <w:rPr>
                <w:rFonts w:hint="eastAsia" w:eastAsia="宋体" w:cs="宋体"/>
                <w:color w:val="000000"/>
                <w:sz w:val="18"/>
                <w:szCs w:val="18"/>
                <w:lang w:val="en-US" w:eastAsia="zh-CN"/>
              </w:rPr>
            </w:pPr>
            <w:r>
              <w:rPr>
                <w:rFonts w:hint="eastAsia" w:cs="宋体"/>
                <w:color w:val="000000"/>
                <w:sz w:val="18"/>
                <w:szCs w:val="18"/>
                <w:lang w:val="en-US" w:eastAsia="zh-CN"/>
              </w:rPr>
              <w:t>否</w:t>
            </w:r>
          </w:p>
        </w:tc>
        <w:tc>
          <w:tcPr>
            <w:tcW w:w="445" w:type="pct"/>
            <w:tcBorders>
              <w:top w:val="nil"/>
              <w:left w:val="nil"/>
              <w:bottom w:val="single" w:color="auto" w:sz="4" w:space="0"/>
              <w:right w:val="single" w:color="auto" w:sz="4" w:space="0"/>
            </w:tcBorders>
            <w:shd w:val="clear" w:color="auto" w:fill="auto"/>
            <w:vAlign w:val="center"/>
          </w:tcPr>
          <w:p>
            <w:pPr>
              <w:jc w:val="center"/>
              <w:rPr>
                <w:rFonts w:hint="default" w:eastAsia="宋体" w:cs="宋体"/>
                <w:color w:val="000000"/>
                <w:sz w:val="18"/>
                <w:szCs w:val="18"/>
                <w:lang w:val="en-US" w:eastAsia="zh-CN"/>
              </w:rPr>
            </w:pPr>
          </w:p>
        </w:tc>
      </w:tr>
      <w:tr>
        <w:tblPrEx>
          <w:tblCellMar>
            <w:top w:w="0" w:type="dxa"/>
            <w:left w:w="108" w:type="dxa"/>
            <w:bottom w:w="0" w:type="dxa"/>
            <w:right w:w="108" w:type="dxa"/>
          </w:tblCellMar>
        </w:tblPrEx>
        <w:trPr>
          <w:gridAfter w:val="1"/>
          <w:wAfter w:w="14" w:type="pct"/>
          <w:trHeight w:val="435" w:hRule="atLeast"/>
        </w:trPr>
        <w:tc>
          <w:tcPr>
            <w:tcW w:w="609" w:type="pct"/>
            <w:tcBorders>
              <w:top w:val="nil"/>
              <w:left w:val="single" w:color="auto" w:sz="4" w:space="0"/>
              <w:bottom w:val="single" w:color="auto" w:sz="4" w:space="0"/>
              <w:right w:val="single" w:color="auto" w:sz="4" w:space="0"/>
            </w:tcBorders>
            <w:shd w:val="clear" w:color="auto" w:fill="auto"/>
            <w:vAlign w:val="center"/>
          </w:tcPr>
          <w:p>
            <w:pPr>
              <w:jc w:val="center"/>
              <w:rPr>
                <w:rFonts w:hint="default" w:eastAsia="宋体" w:cs="宋体"/>
                <w:color w:val="000000"/>
                <w:sz w:val="18"/>
                <w:szCs w:val="18"/>
                <w:lang w:val="en-US" w:eastAsia="zh-CN"/>
              </w:rPr>
            </w:pPr>
            <w:r>
              <w:rPr>
                <w:rFonts w:hint="eastAsia" w:eastAsia="宋体" w:cs="宋体"/>
                <w:color w:val="000000"/>
                <w:sz w:val="18"/>
                <w:szCs w:val="18"/>
                <w:lang w:val="en-US" w:eastAsia="zh-CN"/>
              </w:rPr>
              <w:t>投诉及时处理率</w:t>
            </w:r>
          </w:p>
        </w:tc>
        <w:tc>
          <w:tcPr>
            <w:tcW w:w="360" w:type="pct"/>
            <w:gridSpan w:val="2"/>
            <w:tcBorders>
              <w:top w:val="nil"/>
              <w:left w:val="nil"/>
              <w:bottom w:val="single" w:color="auto" w:sz="4" w:space="0"/>
              <w:right w:val="single" w:color="auto" w:sz="4" w:space="0"/>
            </w:tcBorders>
            <w:shd w:val="clear" w:color="auto" w:fill="auto"/>
            <w:vAlign w:val="center"/>
          </w:tcPr>
          <w:p>
            <w:pPr>
              <w:jc w:val="center"/>
              <w:rPr>
                <w:rFonts w:hint="default" w:eastAsia="宋体" w:cs="宋体"/>
                <w:color w:val="000000"/>
                <w:sz w:val="18"/>
                <w:szCs w:val="18"/>
                <w:lang w:val="en-US" w:eastAsia="zh-CN"/>
              </w:rPr>
            </w:pPr>
            <w:r>
              <w:rPr>
                <w:rFonts w:hint="eastAsia" w:cs="宋体"/>
                <w:color w:val="000000"/>
                <w:sz w:val="18"/>
                <w:szCs w:val="18"/>
                <w:lang w:val="en-US" w:eastAsia="zh-CN"/>
              </w:rPr>
              <w:t>%</w:t>
            </w:r>
          </w:p>
        </w:tc>
        <w:tc>
          <w:tcPr>
            <w:tcW w:w="376" w:type="pct"/>
            <w:tcBorders>
              <w:top w:val="nil"/>
              <w:left w:val="nil"/>
              <w:bottom w:val="single" w:color="auto" w:sz="4" w:space="0"/>
              <w:right w:val="single" w:color="auto" w:sz="4" w:space="0"/>
            </w:tcBorders>
            <w:shd w:val="clear" w:color="auto" w:fill="auto"/>
            <w:vAlign w:val="center"/>
          </w:tcPr>
          <w:p>
            <w:pPr>
              <w:jc w:val="center"/>
              <w:rPr>
                <w:rFonts w:hint="default" w:eastAsia="宋体" w:cs="宋体"/>
                <w:color w:val="000000"/>
                <w:sz w:val="18"/>
                <w:szCs w:val="18"/>
                <w:lang w:val="en-US" w:eastAsia="zh-CN"/>
              </w:rPr>
            </w:pPr>
            <w:r>
              <w:rPr>
                <w:rFonts w:hint="eastAsia" w:cs="宋体"/>
                <w:color w:val="000000"/>
                <w:sz w:val="18"/>
                <w:szCs w:val="18"/>
                <w:lang w:val="en-US" w:eastAsia="zh-CN"/>
              </w:rPr>
              <w:t>≥</w:t>
            </w:r>
          </w:p>
        </w:tc>
        <w:tc>
          <w:tcPr>
            <w:tcW w:w="495" w:type="pct"/>
            <w:tcBorders>
              <w:top w:val="nil"/>
              <w:left w:val="nil"/>
              <w:bottom w:val="single" w:color="auto" w:sz="4" w:space="0"/>
              <w:right w:val="single" w:color="auto" w:sz="4" w:space="0"/>
            </w:tcBorders>
            <w:shd w:val="clear" w:color="auto" w:fill="auto"/>
            <w:vAlign w:val="center"/>
          </w:tcPr>
          <w:p>
            <w:pPr>
              <w:jc w:val="center"/>
              <w:rPr>
                <w:rFonts w:hint="default" w:eastAsia="宋体" w:cs="宋体"/>
                <w:color w:val="000000"/>
                <w:sz w:val="18"/>
                <w:szCs w:val="18"/>
                <w:lang w:val="en-US" w:eastAsia="zh-CN"/>
              </w:rPr>
            </w:pPr>
            <w:r>
              <w:rPr>
                <w:rFonts w:hint="eastAsia" w:cs="宋体"/>
                <w:color w:val="000000"/>
                <w:sz w:val="18"/>
                <w:szCs w:val="18"/>
                <w:lang w:val="en-US" w:eastAsia="zh-CN"/>
              </w:rPr>
              <w:t>90</w:t>
            </w:r>
          </w:p>
        </w:tc>
        <w:tc>
          <w:tcPr>
            <w:tcW w:w="315" w:type="pct"/>
            <w:tcBorders>
              <w:top w:val="nil"/>
              <w:left w:val="nil"/>
              <w:bottom w:val="single" w:color="auto" w:sz="4" w:space="0"/>
              <w:right w:val="single" w:color="auto" w:sz="4" w:space="0"/>
            </w:tcBorders>
            <w:shd w:val="clear" w:color="auto" w:fill="auto"/>
            <w:vAlign w:val="center"/>
          </w:tcPr>
          <w:p>
            <w:pPr>
              <w:jc w:val="center"/>
              <w:rPr>
                <w:rFonts w:hint="default" w:eastAsia="宋体" w:cs="宋体"/>
                <w:color w:val="000000"/>
                <w:sz w:val="18"/>
                <w:szCs w:val="18"/>
                <w:lang w:val="en-US" w:eastAsia="zh-CN"/>
              </w:rPr>
            </w:pPr>
            <w:r>
              <w:rPr>
                <w:rFonts w:hint="eastAsia" w:cs="宋体"/>
                <w:color w:val="000000"/>
                <w:sz w:val="18"/>
                <w:szCs w:val="18"/>
                <w:lang w:val="en-US" w:eastAsia="zh-CN"/>
              </w:rPr>
              <w:t>96</w:t>
            </w:r>
          </w:p>
        </w:tc>
        <w:tc>
          <w:tcPr>
            <w:tcW w:w="452" w:type="pct"/>
            <w:gridSpan w:val="2"/>
            <w:tcBorders>
              <w:top w:val="nil"/>
              <w:left w:val="nil"/>
              <w:bottom w:val="single" w:color="auto" w:sz="4" w:space="0"/>
              <w:right w:val="single" w:color="auto" w:sz="4" w:space="0"/>
            </w:tcBorders>
            <w:shd w:val="clear" w:color="auto" w:fill="auto"/>
            <w:vAlign w:val="center"/>
          </w:tcPr>
          <w:p>
            <w:pPr>
              <w:jc w:val="center"/>
              <w:rPr>
                <w:rFonts w:hint="default" w:eastAsia="宋体" w:cs="宋体"/>
                <w:color w:val="000000"/>
                <w:sz w:val="18"/>
                <w:szCs w:val="18"/>
                <w:lang w:val="en-US" w:eastAsia="zh-CN"/>
              </w:rPr>
            </w:pPr>
            <w:r>
              <w:rPr>
                <w:rFonts w:hint="eastAsia" w:cs="宋体"/>
                <w:color w:val="000000"/>
                <w:sz w:val="18"/>
                <w:szCs w:val="18"/>
                <w:lang w:val="en-US" w:eastAsia="zh-CN"/>
              </w:rPr>
              <w:t>6.67</w:t>
            </w:r>
          </w:p>
        </w:tc>
        <w:tc>
          <w:tcPr>
            <w:tcW w:w="597" w:type="pct"/>
            <w:tcBorders>
              <w:top w:val="nil"/>
              <w:left w:val="nil"/>
              <w:bottom w:val="single" w:color="auto" w:sz="4" w:space="0"/>
              <w:right w:val="single" w:color="auto" w:sz="4" w:space="0"/>
            </w:tcBorders>
            <w:shd w:val="clear" w:color="auto" w:fill="auto"/>
            <w:vAlign w:val="center"/>
          </w:tcPr>
          <w:p>
            <w:pPr>
              <w:jc w:val="center"/>
              <w:rPr>
                <w:rFonts w:hint="default" w:eastAsia="宋体" w:cs="宋体"/>
                <w:color w:val="000000"/>
                <w:sz w:val="18"/>
                <w:szCs w:val="18"/>
                <w:lang w:val="en-US" w:eastAsia="zh-CN"/>
              </w:rPr>
            </w:pPr>
            <w:r>
              <w:rPr>
                <w:rFonts w:hint="eastAsia" w:cs="宋体"/>
                <w:color w:val="000000"/>
                <w:sz w:val="18"/>
                <w:szCs w:val="18"/>
                <w:lang w:val="en-US" w:eastAsia="zh-CN"/>
              </w:rPr>
              <w:t>100</w:t>
            </w:r>
          </w:p>
        </w:tc>
        <w:tc>
          <w:tcPr>
            <w:tcW w:w="444" w:type="pct"/>
            <w:gridSpan w:val="2"/>
            <w:tcBorders>
              <w:top w:val="nil"/>
              <w:left w:val="nil"/>
              <w:bottom w:val="single" w:color="auto" w:sz="4" w:space="0"/>
              <w:right w:val="single" w:color="auto" w:sz="4" w:space="0"/>
            </w:tcBorders>
            <w:shd w:val="clear" w:color="auto" w:fill="auto"/>
            <w:vAlign w:val="center"/>
          </w:tcPr>
          <w:p>
            <w:pPr>
              <w:jc w:val="center"/>
              <w:rPr>
                <w:rFonts w:hint="default" w:eastAsia="宋体" w:cs="宋体"/>
                <w:color w:val="000000"/>
                <w:sz w:val="18"/>
                <w:szCs w:val="18"/>
                <w:lang w:val="en-US" w:eastAsia="zh-CN"/>
              </w:rPr>
            </w:pPr>
            <w:r>
              <w:rPr>
                <w:rFonts w:hint="eastAsia" w:cs="宋体"/>
                <w:color w:val="000000"/>
                <w:sz w:val="18"/>
                <w:szCs w:val="18"/>
                <w:lang w:val="en-US" w:eastAsia="zh-CN"/>
              </w:rPr>
              <w:t>30</w:t>
            </w:r>
          </w:p>
        </w:tc>
        <w:tc>
          <w:tcPr>
            <w:tcW w:w="444" w:type="pct"/>
            <w:gridSpan w:val="2"/>
            <w:tcBorders>
              <w:top w:val="nil"/>
              <w:left w:val="nil"/>
              <w:bottom w:val="single" w:color="auto" w:sz="4" w:space="0"/>
              <w:right w:val="single" w:color="auto" w:sz="4" w:space="0"/>
            </w:tcBorders>
            <w:shd w:val="clear" w:color="auto" w:fill="auto"/>
            <w:vAlign w:val="center"/>
          </w:tcPr>
          <w:p>
            <w:pPr>
              <w:jc w:val="center"/>
              <w:rPr>
                <w:rFonts w:hint="default" w:eastAsia="宋体" w:cs="宋体"/>
                <w:color w:val="000000"/>
                <w:sz w:val="18"/>
                <w:szCs w:val="18"/>
                <w:lang w:val="en-US" w:eastAsia="zh-CN"/>
              </w:rPr>
            </w:pPr>
            <w:r>
              <w:rPr>
                <w:rFonts w:hint="eastAsia" w:cs="宋体"/>
                <w:color w:val="000000"/>
                <w:sz w:val="18"/>
                <w:szCs w:val="18"/>
                <w:lang w:val="en-US" w:eastAsia="zh-CN"/>
              </w:rPr>
              <w:t>30.00</w:t>
            </w:r>
          </w:p>
        </w:tc>
        <w:tc>
          <w:tcPr>
            <w:tcW w:w="444" w:type="pct"/>
            <w:tcBorders>
              <w:top w:val="nil"/>
              <w:left w:val="nil"/>
              <w:bottom w:val="single" w:color="auto" w:sz="4" w:space="0"/>
              <w:right w:val="single" w:color="auto" w:sz="4" w:space="0"/>
            </w:tcBorders>
            <w:shd w:val="clear" w:color="auto" w:fill="auto"/>
            <w:vAlign w:val="center"/>
          </w:tcPr>
          <w:p>
            <w:pPr>
              <w:jc w:val="center"/>
              <w:rPr>
                <w:rFonts w:hint="eastAsia" w:eastAsia="宋体" w:cs="宋体"/>
                <w:color w:val="000000"/>
                <w:sz w:val="18"/>
                <w:szCs w:val="18"/>
                <w:lang w:val="en-US" w:eastAsia="zh-CN"/>
              </w:rPr>
            </w:pPr>
            <w:r>
              <w:rPr>
                <w:rFonts w:hint="eastAsia" w:cs="宋体"/>
                <w:color w:val="000000"/>
                <w:sz w:val="18"/>
                <w:szCs w:val="18"/>
                <w:lang w:val="en-US" w:eastAsia="zh-CN"/>
              </w:rPr>
              <w:t>是</w:t>
            </w:r>
          </w:p>
        </w:tc>
        <w:tc>
          <w:tcPr>
            <w:tcW w:w="445" w:type="pct"/>
            <w:tcBorders>
              <w:top w:val="nil"/>
              <w:left w:val="nil"/>
              <w:bottom w:val="single" w:color="auto" w:sz="4" w:space="0"/>
              <w:right w:val="single" w:color="auto" w:sz="4" w:space="0"/>
            </w:tcBorders>
            <w:shd w:val="clear" w:color="auto" w:fill="auto"/>
            <w:vAlign w:val="center"/>
          </w:tcPr>
          <w:p>
            <w:pPr>
              <w:jc w:val="center"/>
              <w:rPr>
                <w:rFonts w:hint="default" w:eastAsia="宋体" w:cs="宋体"/>
                <w:color w:val="000000"/>
                <w:sz w:val="18"/>
                <w:szCs w:val="18"/>
                <w:lang w:val="en-US" w:eastAsia="zh-CN"/>
              </w:rPr>
            </w:pPr>
          </w:p>
        </w:tc>
      </w:tr>
      <w:tr>
        <w:tblPrEx>
          <w:tblCellMar>
            <w:top w:w="0" w:type="dxa"/>
            <w:left w:w="108" w:type="dxa"/>
            <w:bottom w:w="0" w:type="dxa"/>
            <w:right w:w="108" w:type="dxa"/>
          </w:tblCellMar>
        </w:tblPrEx>
        <w:trPr>
          <w:gridAfter w:val="1"/>
          <w:wAfter w:w="14" w:type="pct"/>
          <w:trHeight w:val="435" w:hRule="atLeast"/>
        </w:trPr>
        <w:tc>
          <w:tcPr>
            <w:tcW w:w="609"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eastAsia="宋体" w:cs="宋体"/>
                <w:color w:val="000000"/>
                <w:sz w:val="18"/>
                <w:szCs w:val="18"/>
                <w:lang w:val="en-US" w:eastAsia="zh-CN"/>
              </w:rPr>
            </w:pPr>
            <w:r>
              <w:rPr>
                <w:rFonts w:hint="eastAsia" w:eastAsia="宋体" w:cs="宋体"/>
                <w:color w:val="000000"/>
                <w:sz w:val="18"/>
                <w:szCs w:val="18"/>
                <w:lang w:val="en-US" w:eastAsia="zh-CN"/>
              </w:rPr>
              <w:t>道路安全执法</w:t>
            </w:r>
          </w:p>
        </w:tc>
        <w:tc>
          <w:tcPr>
            <w:tcW w:w="360"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eastAsia="宋体" w:cs="宋体"/>
                <w:color w:val="000000"/>
                <w:sz w:val="18"/>
                <w:szCs w:val="18"/>
                <w:lang w:val="en-US" w:eastAsia="zh-CN"/>
              </w:rPr>
            </w:pPr>
            <w:r>
              <w:rPr>
                <w:rFonts w:hint="eastAsia" w:cs="宋体"/>
                <w:color w:val="000000"/>
                <w:sz w:val="18"/>
                <w:szCs w:val="18"/>
                <w:lang w:val="en-US" w:eastAsia="zh-CN"/>
              </w:rPr>
              <w:t>次</w:t>
            </w:r>
          </w:p>
        </w:tc>
        <w:tc>
          <w:tcPr>
            <w:tcW w:w="376"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eastAsia="宋体" w:cs="宋体"/>
                <w:color w:val="000000"/>
                <w:sz w:val="18"/>
                <w:szCs w:val="18"/>
                <w:lang w:val="en-US" w:eastAsia="zh-CN"/>
              </w:rPr>
            </w:pPr>
            <w:r>
              <w:rPr>
                <w:rFonts w:hint="eastAsia" w:cs="宋体"/>
                <w:color w:val="000000"/>
                <w:sz w:val="18"/>
                <w:szCs w:val="18"/>
                <w:lang w:val="en-US" w:eastAsia="zh-CN"/>
              </w:rPr>
              <w:t>≥</w:t>
            </w:r>
          </w:p>
        </w:tc>
        <w:tc>
          <w:tcPr>
            <w:tcW w:w="495"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eastAsia="宋体" w:cs="宋体"/>
                <w:color w:val="000000"/>
                <w:sz w:val="18"/>
                <w:szCs w:val="18"/>
                <w:lang w:val="en-US" w:eastAsia="zh-CN"/>
              </w:rPr>
            </w:pPr>
            <w:r>
              <w:rPr>
                <w:rFonts w:hint="eastAsia" w:cs="宋体"/>
                <w:color w:val="000000"/>
                <w:sz w:val="18"/>
                <w:szCs w:val="18"/>
                <w:lang w:val="en-US" w:eastAsia="zh-CN"/>
              </w:rPr>
              <w:t>96</w:t>
            </w:r>
          </w:p>
        </w:tc>
        <w:tc>
          <w:tcPr>
            <w:tcW w:w="315"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eastAsia="宋体" w:cs="宋体"/>
                <w:color w:val="000000"/>
                <w:sz w:val="18"/>
                <w:szCs w:val="18"/>
                <w:lang w:val="en-US" w:eastAsia="zh-CN"/>
              </w:rPr>
            </w:pPr>
            <w:r>
              <w:rPr>
                <w:rFonts w:hint="eastAsia" w:cs="宋体"/>
                <w:color w:val="000000"/>
                <w:sz w:val="18"/>
                <w:szCs w:val="18"/>
                <w:lang w:val="en-US" w:eastAsia="zh-CN"/>
              </w:rPr>
              <w:t>100</w:t>
            </w:r>
          </w:p>
        </w:tc>
        <w:tc>
          <w:tcPr>
            <w:tcW w:w="452"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eastAsia="宋体" w:cs="宋体"/>
                <w:color w:val="000000"/>
                <w:sz w:val="18"/>
                <w:szCs w:val="18"/>
                <w:lang w:val="en-US" w:eastAsia="zh-CN"/>
              </w:rPr>
            </w:pPr>
            <w:r>
              <w:rPr>
                <w:rFonts w:hint="eastAsia" w:cs="宋体"/>
                <w:color w:val="000000"/>
                <w:sz w:val="18"/>
                <w:szCs w:val="18"/>
                <w:lang w:val="en-US" w:eastAsia="zh-CN"/>
              </w:rPr>
              <w:t>4.17</w:t>
            </w:r>
          </w:p>
        </w:tc>
        <w:tc>
          <w:tcPr>
            <w:tcW w:w="597"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eastAsia="宋体" w:cs="宋体"/>
                <w:color w:val="000000"/>
                <w:sz w:val="18"/>
                <w:szCs w:val="18"/>
                <w:lang w:val="en-US" w:eastAsia="zh-CN"/>
              </w:rPr>
            </w:pPr>
            <w:r>
              <w:rPr>
                <w:rFonts w:hint="eastAsia" w:cs="宋体"/>
                <w:color w:val="000000"/>
                <w:sz w:val="18"/>
                <w:szCs w:val="18"/>
                <w:lang w:val="en-US" w:eastAsia="zh-CN"/>
              </w:rPr>
              <w:t>100</w:t>
            </w:r>
          </w:p>
        </w:tc>
        <w:tc>
          <w:tcPr>
            <w:tcW w:w="444"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eastAsia="宋体" w:cs="宋体"/>
                <w:color w:val="000000"/>
                <w:sz w:val="18"/>
                <w:szCs w:val="18"/>
                <w:lang w:val="en-US" w:eastAsia="zh-CN"/>
              </w:rPr>
            </w:pPr>
            <w:r>
              <w:rPr>
                <w:rFonts w:hint="eastAsia" w:cs="宋体"/>
                <w:color w:val="000000"/>
                <w:sz w:val="18"/>
                <w:szCs w:val="18"/>
                <w:lang w:val="en-US" w:eastAsia="zh-CN"/>
              </w:rPr>
              <w:t>20</w:t>
            </w:r>
          </w:p>
        </w:tc>
        <w:tc>
          <w:tcPr>
            <w:tcW w:w="444"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eastAsia="宋体" w:cs="宋体"/>
                <w:color w:val="000000"/>
                <w:sz w:val="18"/>
                <w:szCs w:val="18"/>
                <w:lang w:val="en-US" w:eastAsia="zh-CN"/>
              </w:rPr>
            </w:pPr>
            <w:r>
              <w:rPr>
                <w:rFonts w:hint="eastAsia" w:cs="宋体"/>
                <w:color w:val="000000"/>
                <w:sz w:val="18"/>
                <w:szCs w:val="18"/>
                <w:lang w:val="en-US" w:eastAsia="zh-CN"/>
              </w:rPr>
              <w:t>20.00</w:t>
            </w:r>
          </w:p>
        </w:tc>
        <w:tc>
          <w:tcPr>
            <w:tcW w:w="444"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eastAsia="宋体" w:cs="宋体"/>
                <w:color w:val="000000"/>
                <w:sz w:val="18"/>
                <w:szCs w:val="18"/>
                <w:lang w:val="en-US" w:eastAsia="zh-CN"/>
              </w:rPr>
            </w:pPr>
            <w:r>
              <w:rPr>
                <w:rFonts w:hint="eastAsia" w:cs="宋体"/>
                <w:color w:val="000000"/>
                <w:sz w:val="18"/>
                <w:szCs w:val="18"/>
                <w:lang w:val="en-US" w:eastAsia="zh-CN"/>
              </w:rPr>
              <w:t>否</w:t>
            </w:r>
          </w:p>
        </w:tc>
        <w:tc>
          <w:tcPr>
            <w:tcW w:w="445"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eastAsia="宋体" w:cs="宋体"/>
                <w:color w:val="000000"/>
                <w:sz w:val="18"/>
                <w:szCs w:val="18"/>
                <w:lang w:val="en-US" w:eastAsia="zh-CN"/>
              </w:rPr>
            </w:pPr>
          </w:p>
        </w:tc>
      </w:tr>
      <w:tr>
        <w:tblPrEx>
          <w:tblCellMar>
            <w:top w:w="0" w:type="dxa"/>
            <w:left w:w="108" w:type="dxa"/>
            <w:bottom w:w="0" w:type="dxa"/>
            <w:right w:w="108" w:type="dxa"/>
          </w:tblCellMar>
        </w:tblPrEx>
        <w:trPr>
          <w:gridAfter w:val="1"/>
          <w:wAfter w:w="14" w:type="pct"/>
          <w:trHeight w:val="435" w:hRule="atLeast"/>
        </w:trPr>
        <w:tc>
          <w:tcPr>
            <w:tcW w:w="609"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eastAsia="宋体" w:cs="宋体"/>
                <w:color w:val="000000"/>
                <w:sz w:val="18"/>
                <w:szCs w:val="18"/>
                <w:lang w:val="en-US" w:eastAsia="zh-CN"/>
              </w:rPr>
            </w:pPr>
            <w:r>
              <w:rPr>
                <w:rFonts w:hint="eastAsia" w:eastAsia="宋体" w:cs="宋体"/>
                <w:color w:val="000000"/>
                <w:sz w:val="18"/>
                <w:szCs w:val="18"/>
                <w:lang w:val="en-US" w:eastAsia="zh-CN"/>
              </w:rPr>
              <w:t>消防安全执法</w:t>
            </w:r>
          </w:p>
        </w:tc>
        <w:tc>
          <w:tcPr>
            <w:tcW w:w="360"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eastAsia="宋体" w:cs="宋体"/>
                <w:color w:val="000000"/>
                <w:sz w:val="18"/>
                <w:szCs w:val="18"/>
                <w:lang w:val="en-US" w:eastAsia="zh-CN"/>
              </w:rPr>
            </w:pPr>
            <w:r>
              <w:rPr>
                <w:rFonts w:hint="eastAsia" w:cs="宋体"/>
                <w:color w:val="000000"/>
                <w:sz w:val="18"/>
                <w:szCs w:val="18"/>
                <w:lang w:val="en-US" w:eastAsia="zh-CN"/>
              </w:rPr>
              <w:t>次</w:t>
            </w:r>
          </w:p>
        </w:tc>
        <w:tc>
          <w:tcPr>
            <w:tcW w:w="376"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eastAsia="宋体" w:cs="宋体"/>
                <w:color w:val="000000"/>
                <w:sz w:val="18"/>
                <w:szCs w:val="18"/>
                <w:lang w:val="en-US" w:eastAsia="zh-CN"/>
              </w:rPr>
            </w:pPr>
            <w:r>
              <w:rPr>
                <w:rFonts w:hint="eastAsia" w:cs="宋体"/>
                <w:color w:val="000000"/>
                <w:sz w:val="18"/>
                <w:szCs w:val="18"/>
                <w:lang w:val="en-US" w:eastAsia="zh-CN"/>
              </w:rPr>
              <w:t>≥</w:t>
            </w:r>
          </w:p>
        </w:tc>
        <w:tc>
          <w:tcPr>
            <w:tcW w:w="495"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eastAsia="宋体" w:cs="宋体"/>
                <w:color w:val="000000"/>
                <w:sz w:val="18"/>
                <w:szCs w:val="18"/>
                <w:lang w:val="en-US" w:eastAsia="zh-CN"/>
              </w:rPr>
            </w:pPr>
            <w:r>
              <w:rPr>
                <w:rFonts w:hint="eastAsia" w:cs="宋体"/>
                <w:color w:val="000000"/>
                <w:sz w:val="18"/>
                <w:szCs w:val="18"/>
                <w:lang w:val="en-US" w:eastAsia="zh-CN"/>
              </w:rPr>
              <w:t>12</w:t>
            </w:r>
          </w:p>
        </w:tc>
        <w:tc>
          <w:tcPr>
            <w:tcW w:w="315"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eastAsia="宋体" w:cs="宋体"/>
                <w:color w:val="000000"/>
                <w:sz w:val="18"/>
                <w:szCs w:val="18"/>
                <w:lang w:val="en-US" w:eastAsia="zh-CN"/>
              </w:rPr>
            </w:pPr>
            <w:r>
              <w:rPr>
                <w:rFonts w:hint="eastAsia" w:cs="宋体"/>
                <w:color w:val="000000"/>
                <w:sz w:val="18"/>
                <w:szCs w:val="18"/>
                <w:lang w:val="en-US" w:eastAsia="zh-CN"/>
              </w:rPr>
              <w:t>12</w:t>
            </w:r>
          </w:p>
        </w:tc>
        <w:tc>
          <w:tcPr>
            <w:tcW w:w="452"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eastAsia="宋体" w:cs="宋体"/>
                <w:color w:val="000000"/>
                <w:sz w:val="18"/>
                <w:szCs w:val="18"/>
                <w:lang w:val="en-US" w:eastAsia="zh-CN"/>
              </w:rPr>
            </w:pPr>
            <w:r>
              <w:rPr>
                <w:rFonts w:hint="eastAsia" w:cs="宋体"/>
                <w:color w:val="000000"/>
                <w:sz w:val="18"/>
                <w:szCs w:val="18"/>
                <w:lang w:val="en-US" w:eastAsia="zh-CN"/>
              </w:rPr>
              <w:t>0.00</w:t>
            </w:r>
          </w:p>
        </w:tc>
        <w:tc>
          <w:tcPr>
            <w:tcW w:w="597"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eastAsia="宋体" w:cs="宋体"/>
                <w:color w:val="000000"/>
                <w:sz w:val="18"/>
                <w:szCs w:val="18"/>
                <w:lang w:val="en-US" w:eastAsia="zh-CN"/>
              </w:rPr>
            </w:pPr>
            <w:r>
              <w:rPr>
                <w:rFonts w:hint="eastAsia" w:cs="宋体"/>
                <w:color w:val="000000"/>
                <w:sz w:val="18"/>
                <w:szCs w:val="18"/>
                <w:lang w:val="en-US" w:eastAsia="zh-CN"/>
              </w:rPr>
              <w:t>100</w:t>
            </w:r>
          </w:p>
        </w:tc>
        <w:tc>
          <w:tcPr>
            <w:tcW w:w="444"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eastAsia="宋体" w:cs="宋体"/>
                <w:color w:val="000000"/>
                <w:sz w:val="18"/>
                <w:szCs w:val="18"/>
                <w:lang w:val="en-US" w:eastAsia="zh-CN"/>
              </w:rPr>
            </w:pPr>
            <w:r>
              <w:rPr>
                <w:rFonts w:hint="eastAsia" w:cs="宋体"/>
                <w:color w:val="000000"/>
                <w:sz w:val="18"/>
                <w:szCs w:val="18"/>
                <w:lang w:val="en-US" w:eastAsia="zh-CN"/>
              </w:rPr>
              <w:t>20</w:t>
            </w:r>
          </w:p>
        </w:tc>
        <w:tc>
          <w:tcPr>
            <w:tcW w:w="444"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eastAsia="宋体" w:cs="宋体"/>
                <w:color w:val="000000"/>
                <w:sz w:val="18"/>
                <w:szCs w:val="18"/>
                <w:lang w:val="en-US" w:eastAsia="zh-CN"/>
              </w:rPr>
            </w:pPr>
            <w:r>
              <w:rPr>
                <w:rFonts w:hint="eastAsia" w:cs="宋体"/>
                <w:color w:val="000000"/>
                <w:sz w:val="18"/>
                <w:szCs w:val="18"/>
                <w:lang w:val="en-US" w:eastAsia="zh-CN"/>
              </w:rPr>
              <w:t>20.00</w:t>
            </w:r>
          </w:p>
        </w:tc>
        <w:tc>
          <w:tcPr>
            <w:tcW w:w="444"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eastAsia="宋体" w:cs="宋体"/>
                <w:color w:val="000000"/>
                <w:sz w:val="18"/>
                <w:szCs w:val="18"/>
                <w:lang w:val="en-US" w:eastAsia="zh-CN"/>
              </w:rPr>
            </w:pPr>
            <w:r>
              <w:rPr>
                <w:rFonts w:hint="eastAsia" w:cs="宋体"/>
                <w:color w:val="000000"/>
                <w:sz w:val="18"/>
                <w:szCs w:val="18"/>
                <w:lang w:val="en-US" w:eastAsia="zh-CN"/>
              </w:rPr>
              <w:t>否</w:t>
            </w:r>
          </w:p>
        </w:tc>
        <w:tc>
          <w:tcPr>
            <w:tcW w:w="445"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eastAsia="宋体" w:cs="宋体"/>
                <w:color w:val="000000"/>
                <w:sz w:val="18"/>
                <w:szCs w:val="18"/>
                <w:lang w:val="en-US" w:eastAsia="zh-CN"/>
              </w:rPr>
            </w:pPr>
          </w:p>
        </w:tc>
      </w:tr>
    </w:tbl>
    <w:p>
      <w:pPr>
        <w:pStyle w:val="11"/>
        <w:keepNext w:val="0"/>
        <w:keepLines w:val="0"/>
        <w:pageBreakBefore w:val="0"/>
        <w:widowControl/>
        <w:kinsoku/>
        <w:wordWrap/>
        <w:overflowPunct/>
        <w:topLinePunct w:val="0"/>
        <w:autoSpaceDE w:val="0"/>
        <w:autoSpaceDN/>
        <w:bidi w:val="0"/>
        <w:adjustRightInd/>
        <w:spacing w:beforeAutospacing="0" w:afterAutospacing="0" w:line="600" w:lineRule="exact"/>
        <w:ind w:firstLine="643"/>
        <w:textAlignment w:val="auto"/>
        <w:rPr>
          <w:rFonts w:ascii="楷体" w:hAnsi="楷体" w:eastAsia="楷体" w:cs="楷体"/>
          <w:b w:val="0"/>
          <w:bCs w:val="0"/>
          <w:sz w:val="32"/>
          <w:szCs w:val="32"/>
          <w:shd w:val="clear" w:color="auto" w:fill="FFFFFF"/>
        </w:rPr>
      </w:pPr>
      <w:r>
        <w:rPr>
          <w:rFonts w:hint="eastAsia" w:ascii="楷体" w:hAnsi="楷体" w:eastAsia="楷体" w:cs="楷体"/>
          <w:b w:val="0"/>
          <w:bCs w:val="0"/>
          <w:sz w:val="32"/>
          <w:szCs w:val="32"/>
          <w:shd w:val="clear" w:color="auto" w:fill="FFFFFF"/>
        </w:rPr>
        <w:t>（二）单位绩效评价情况</w:t>
      </w:r>
    </w:p>
    <w:p>
      <w:pPr>
        <w:pStyle w:val="6"/>
        <w:keepNext w:val="0"/>
        <w:keepLines w:val="0"/>
        <w:pageBreakBefore w:val="0"/>
        <w:widowControl/>
        <w:kinsoku/>
        <w:wordWrap/>
        <w:overflowPunct/>
        <w:topLinePunct w:val="0"/>
        <w:autoSpaceDN/>
        <w:bidi w:val="0"/>
        <w:adjustRightInd/>
        <w:snapToGrid w:val="0"/>
        <w:spacing w:before="0" w:beforeAutospacing="0" w:after="0" w:afterAutospacing="0" w:line="600" w:lineRule="exact"/>
        <w:ind w:firstLine="640" w:firstLineChars="200"/>
        <w:jc w:val="both"/>
        <w:textAlignment w:val="auto"/>
        <w:rPr>
          <w:rFonts w:ascii="方正仿宋_GBK" w:hAnsi="方正仿宋_GBK" w:eastAsia="方正仿宋_GBK" w:cs="方正仿宋_GBK"/>
          <w:b w:val="0"/>
          <w:bCs w:val="0"/>
          <w:sz w:val="32"/>
          <w:szCs w:val="32"/>
          <w:shd w:val="clear" w:color="auto" w:fill="FFFFFF"/>
        </w:rPr>
      </w:pPr>
      <w:r>
        <w:rPr>
          <w:rFonts w:hint="eastAsia" w:ascii="方正仿宋_GBK" w:hAnsi="方正仿宋_GBK" w:eastAsia="方正仿宋_GBK" w:cs="方正仿宋_GBK"/>
          <w:b w:val="0"/>
          <w:bCs w:val="0"/>
          <w:sz w:val="32"/>
          <w:szCs w:val="32"/>
          <w:shd w:val="clear" w:color="auto" w:fill="FFFFFF"/>
        </w:rPr>
        <w:t>本单位没有委托第三方开展绩效评价</w:t>
      </w:r>
    </w:p>
    <w:p>
      <w:pPr>
        <w:pStyle w:val="11"/>
        <w:keepNext w:val="0"/>
        <w:keepLines w:val="0"/>
        <w:pageBreakBefore w:val="0"/>
        <w:widowControl/>
        <w:kinsoku/>
        <w:wordWrap/>
        <w:overflowPunct/>
        <w:topLinePunct w:val="0"/>
        <w:autoSpaceDE w:val="0"/>
        <w:autoSpaceDN/>
        <w:bidi w:val="0"/>
        <w:adjustRightInd/>
        <w:spacing w:beforeAutospacing="0" w:afterAutospacing="0" w:line="600" w:lineRule="exact"/>
        <w:ind w:firstLine="0" w:firstLineChars="0"/>
        <w:textAlignment w:val="auto"/>
        <w:rPr>
          <w:rFonts w:ascii="楷体" w:hAnsi="楷体" w:eastAsia="楷体" w:cs="楷体"/>
          <w:b w:val="0"/>
          <w:bCs w:val="0"/>
          <w:sz w:val="32"/>
          <w:szCs w:val="32"/>
          <w:shd w:val="clear" w:color="auto" w:fill="FFFFFF"/>
        </w:rPr>
      </w:pPr>
      <w:r>
        <w:rPr>
          <w:rFonts w:hint="eastAsia" w:ascii="方正仿宋_GBK" w:hAnsi="方正仿宋_GBK" w:eastAsia="方正仿宋_GBK" w:cs="方正仿宋_GBK"/>
          <w:b w:val="0"/>
          <w:bCs w:val="0"/>
          <w:sz w:val="32"/>
          <w:szCs w:val="32"/>
          <w:shd w:val="clear" w:color="auto" w:fill="FFFFFF"/>
        </w:rPr>
        <w:t xml:space="preserve">   </w:t>
      </w:r>
      <w:r>
        <w:rPr>
          <w:rFonts w:hint="eastAsia" w:ascii="方正仿宋_GBK" w:hAnsi="方正仿宋_GBK" w:eastAsia="方正仿宋_GBK" w:cs="方正仿宋_GBK"/>
          <w:b w:val="0"/>
          <w:bCs w:val="0"/>
          <w:sz w:val="32"/>
          <w:szCs w:val="32"/>
          <w:shd w:val="clear" w:color="auto" w:fill="FFFFFF"/>
          <w:lang w:val="en-US" w:eastAsia="zh-CN"/>
        </w:rPr>
        <w:t xml:space="preserve"> </w:t>
      </w:r>
      <w:r>
        <w:rPr>
          <w:rFonts w:hint="eastAsia" w:ascii="楷体" w:hAnsi="楷体" w:eastAsia="楷体" w:cs="楷体"/>
          <w:b w:val="0"/>
          <w:bCs w:val="0"/>
          <w:sz w:val="32"/>
          <w:szCs w:val="32"/>
          <w:shd w:val="clear" w:color="auto" w:fill="FFFFFF"/>
        </w:rPr>
        <w:t>（三）财政绩效评价情况</w:t>
      </w:r>
    </w:p>
    <w:p>
      <w:pPr>
        <w:pStyle w:val="6"/>
        <w:keepNext w:val="0"/>
        <w:keepLines w:val="0"/>
        <w:pageBreakBefore w:val="0"/>
        <w:widowControl/>
        <w:kinsoku/>
        <w:wordWrap/>
        <w:overflowPunct/>
        <w:topLinePunct w:val="0"/>
        <w:autoSpaceDN/>
        <w:bidi w:val="0"/>
        <w:adjustRightInd/>
        <w:snapToGrid w:val="0"/>
        <w:spacing w:before="0" w:beforeAutospacing="0" w:after="0" w:afterAutospacing="0" w:line="600" w:lineRule="exact"/>
        <w:ind w:firstLine="640" w:firstLineChars="200"/>
        <w:jc w:val="both"/>
        <w:textAlignment w:val="auto"/>
        <w:rPr>
          <w:rFonts w:hint="eastAsia" w:ascii="方正仿宋_GBK" w:hAnsi="方正仿宋_GBK" w:eastAsia="方正仿宋_GBK" w:cs="方正仿宋_GBK"/>
          <w:b w:val="0"/>
          <w:bCs w:val="0"/>
          <w:sz w:val="32"/>
          <w:szCs w:val="32"/>
          <w:shd w:val="clear" w:color="auto" w:fill="FFFFFF"/>
        </w:rPr>
      </w:pPr>
      <w:r>
        <w:rPr>
          <w:rFonts w:hint="eastAsia" w:ascii="方正仿宋_GBK" w:hAnsi="方正仿宋_GBK" w:eastAsia="方正仿宋_GBK" w:cs="方正仿宋_GBK"/>
          <w:b w:val="0"/>
          <w:bCs w:val="0"/>
          <w:sz w:val="32"/>
          <w:szCs w:val="32"/>
          <w:shd w:val="clear" w:color="auto" w:fill="FFFFFF"/>
          <w:lang w:val="en-US" w:eastAsia="zh-CN"/>
        </w:rPr>
        <w:t>区财政局未委托第三方对我单位开展绩效评价。</w:t>
      </w:r>
    </w:p>
    <w:p>
      <w:pPr>
        <w:pStyle w:val="6"/>
        <w:keepNext w:val="0"/>
        <w:keepLines w:val="0"/>
        <w:pageBreakBefore w:val="0"/>
        <w:widowControl/>
        <w:shd w:val="clear" w:color="auto" w:fill="FFFFFF"/>
        <w:kinsoku/>
        <w:wordWrap/>
        <w:overflowPunct/>
        <w:topLinePunct w:val="0"/>
        <w:autoSpaceDN/>
        <w:bidi w:val="0"/>
        <w:adjustRightInd/>
        <w:spacing w:before="0" w:beforeAutospacing="0" w:after="0" w:afterAutospacing="0" w:line="600" w:lineRule="exact"/>
        <w:ind w:firstLine="960" w:firstLineChars="300"/>
        <w:textAlignment w:val="auto"/>
        <w:rPr>
          <w:rStyle w:val="10"/>
          <w:rFonts w:hint="default" w:ascii="方正仿宋_GBK" w:hAnsi="方正仿宋_GBK" w:eastAsia="方正仿宋_GBK" w:cs="方正仿宋_GBK"/>
          <w:b w:val="0"/>
          <w:bCs w:val="0"/>
          <w:sz w:val="32"/>
          <w:szCs w:val="32"/>
          <w:shd w:val="clear" w:color="auto" w:fill="FFFFFF"/>
        </w:rPr>
      </w:pPr>
      <w:r>
        <w:rPr>
          <w:rStyle w:val="10"/>
          <w:rFonts w:ascii="黑体" w:hAnsi="黑体" w:eastAsia="黑体" w:cs="黑体"/>
          <w:b w:val="0"/>
          <w:bCs w:val="0"/>
          <w:sz w:val="32"/>
          <w:szCs w:val="32"/>
          <w:shd w:val="clear" w:color="auto" w:fill="FFFFFF"/>
        </w:rPr>
        <w:t>六、专业名词解释</w:t>
      </w:r>
    </w:p>
    <w:p>
      <w:pPr>
        <w:pStyle w:val="6"/>
        <w:keepNext w:val="0"/>
        <w:keepLines w:val="0"/>
        <w:pageBreakBefore w:val="0"/>
        <w:widowControl/>
        <w:kinsoku/>
        <w:wordWrap/>
        <w:overflowPunct/>
        <w:topLinePunct w:val="0"/>
        <w:autoSpaceDN/>
        <w:bidi w:val="0"/>
        <w:adjustRightInd/>
        <w:snapToGrid w:val="0"/>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Fonts w:ascii="楷体" w:hAnsi="楷体" w:eastAsia="楷体" w:cs="楷体"/>
          <w:b w:val="0"/>
          <w:bCs w:val="0"/>
          <w:sz w:val="32"/>
          <w:szCs w:val="32"/>
          <w:shd w:val="clear" w:color="auto" w:fill="FFFFFF"/>
        </w:rPr>
        <w:t>（一）财政拨款收入：</w:t>
      </w:r>
      <w:r>
        <w:rPr>
          <w:rFonts w:ascii="方正仿宋_GBK" w:hAnsi="方正仿宋_GBK" w:eastAsia="方正仿宋_GBK" w:cs="方正仿宋_GBK"/>
          <w:b w:val="0"/>
          <w:bCs w:val="0"/>
          <w:sz w:val="32"/>
          <w:szCs w:val="32"/>
          <w:shd w:val="clear" w:color="auto" w:fill="FFFFFF"/>
        </w:rPr>
        <w:t>指本年度从本级财政部门取得的财政拨款，包括一般公共预算财政拨款和政府性基金预算财政拨款。</w:t>
      </w:r>
    </w:p>
    <w:p>
      <w:pPr>
        <w:pStyle w:val="6"/>
        <w:keepNext w:val="0"/>
        <w:keepLines w:val="0"/>
        <w:pageBreakBefore w:val="0"/>
        <w:widowControl/>
        <w:kinsoku/>
        <w:wordWrap/>
        <w:overflowPunct/>
        <w:topLinePunct w:val="0"/>
        <w:autoSpaceDN/>
        <w:bidi w:val="0"/>
        <w:adjustRightInd/>
        <w:snapToGrid w:val="0"/>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（二）事业收入</w:t>
      </w:r>
      <w:r>
        <w:rPr>
          <w:rFonts w:ascii="楷体" w:hAnsi="楷体" w:eastAsia="楷体" w:cs="楷体"/>
          <w:b w:val="0"/>
          <w:bCs w:val="0"/>
          <w:sz w:val="32"/>
          <w:szCs w:val="32"/>
          <w:shd w:val="clear" w:color="auto" w:fill="FFFFFF"/>
        </w:rPr>
        <w:t>：</w:t>
      </w:r>
      <w:r>
        <w:rPr>
          <w:rFonts w:ascii="方正仿宋_GBK" w:hAnsi="方正仿宋_GBK" w:eastAsia="方正仿宋_GBK" w:cs="方正仿宋_GBK"/>
          <w:b w:val="0"/>
          <w:bCs w:val="0"/>
          <w:sz w:val="32"/>
          <w:szCs w:val="32"/>
          <w:shd w:val="clear" w:color="auto" w:fill="FFFFFF"/>
        </w:rPr>
        <w:t>指事业单位开展专业业务活动及其辅助活动取得的现金流入；事业单位收到的财政专户实际核拨的教育收费等资金在此反映。</w:t>
      </w:r>
    </w:p>
    <w:p>
      <w:pPr>
        <w:pStyle w:val="6"/>
        <w:keepNext w:val="0"/>
        <w:keepLines w:val="0"/>
        <w:pageBreakBefore w:val="0"/>
        <w:widowControl/>
        <w:kinsoku/>
        <w:wordWrap/>
        <w:overflowPunct/>
        <w:topLinePunct w:val="0"/>
        <w:autoSpaceDN/>
        <w:bidi w:val="0"/>
        <w:adjustRightInd/>
        <w:snapToGrid w:val="0"/>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（三）经营收入</w:t>
      </w:r>
      <w:r>
        <w:rPr>
          <w:rFonts w:ascii="楷体" w:hAnsi="楷体" w:eastAsia="楷体" w:cs="楷体"/>
          <w:b w:val="0"/>
          <w:bCs w:val="0"/>
          <w:sz w:val="32"/>
          <w:szCs w:val="32"/>
          <w:shd w:val="clear" w:color="auto" w:fill="FFFFFF"/>
        </w:rPr>
        <w:t>：</w:t>
      </w:r>
      <w:r>
        <w:rPr>
          <w:rFonts w:ascii="方正仿宋_GBK" w:hAnsi="方正仿宋_GBK" w:eastAsia="方正仿宋_GBK" w:cs="方正仿宋_GBK"/>
          <w:b w:val="0"/>
          <w:bCs w:val="0"/>
          <w:sz w:val="32"/>
          <w:szCs w:val="32"/>
          <w:shd w:val="clear" w:color="auto" w:fill="FFFFFF"/>
        </w:rPr>
        <w:t>指事业单位在专业业务活动及其辅助活动之外开展非独立核算经营活动取得的现金流入。</w:t>
      </w:r>
    </w:p>
    <w:p>
      <w:pPr>
        <w:pStyle w:val="6"/>
        <w:keepNext w:val="0"/>
        <w:keepLines w:val="0"/>
        <w:pageBreakBefore w:val="0"/>
        <w:widowControl/>
        <w:kinsoku/>
        <w:wordWrap/>
        <w:overflowPunct/>
        <w:topLinePunct w:val="0"/>
        <w:autoSpaceDN/>
        <w:bidi w:val="0"/>
        <w:adjustRightInd/>
        <w:snapToGrid w:val="0"/>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（四）其他收入</w:t>
      </w:r>
      <w:r>
        <w:rPr>
          <w:rFonts w:ascii="楷体" w:hAnsi="楷体" w:eastAsia="楷体" w:cs="楷体"/>
          <w:b w:val="0"/>
          <w:bCs w:val="0"/>
          <w:sz w:val="32"/>
          <w:szCs w:val="32"/>
          <w:shd w:val="clear" w:color="auto" w:fill="FFFFFF"/>
        </w:rPr>
        <w:t>：</w:t>
      </w:r>
      <w:r>
        <w:rPr>
          <w:rFonts w:ascii="方正仿宋_GBK" w:hAnsi="方正仿宋_GBK" w:eastAsia="方正仿宋_GBK" w:cs="方正仿宋_GBK"/>
          <w:b w:val="0"/>
          <w:bCs w:val="0"/>
          <w:sz w:val="32"/>
          <w:szCs w:val="32"/>
          <w:shd w:val="clear" w:color="auto"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pPr>
        <w:pStyle w:val="6"/>
        <w:keepNext w:val="0"/>
        <w:keepLines w:val="0"/>
        <w:pageBreakBefore w:val="0"/>
        <w:widowControl/>
        <w:kinsoku/>
        <w:wordWrap/>
        <w:overflowPunct/>
        <w:topLinePunct w:val="0"/>
        <w:autoSpaceDN/>
        <w:bidi w:val="0"/>
        <w:adjustRightInd/>
        <w:snapToGrid w:val="0"/>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（五）使用非财政拨款结余</w:t>
      </w:r>
      <w:r>
        <w:rPr>
          <w:rFonts w:ascii="楷体" w:hAnsi="楷体" w:eastAsia="楷体" w:cs="楷体"/>
          <w:b w:val="0"/>
          <w:bCs w:val="0"/>
          <w:sz w:val="32"/>
          <w:szCs w:val="32"/>
          <w:shd w:val="clear" w:color="auto" w:fill="FFFFFF"/>
        </w:rPr>
        <w:t>：</w:t>
      </w:r>
      <w:r>
        <w:rPr>
          <w:rFonts w:ascii="方正仿宋_GBK" w:hAnsi="方正仿宋_GBK" w:eastAsia="方正仿宋_GBK" w:cs="方正仿宋_GBK"/>
          <w:b w:val="0"/>
          <w:bCs w:val="0"/>
          <w:sz w:val="32"/>
          <w:szCs w:val="32"/>
          <w:shd w:val="clear" w:color="auto" w:fill="FFFFFF"/>
        </w:rPr>
        <w:t>指单位在当年的“财政拨款收入”、“事业收入”、“经营收入”、“其他收入”等不足以安排当年支出的情况下，使用以前年度积累的非财政拨款结余弥补本年度收支缺口的资金。</w:t>
      </w:r>
    </w:p>
    <w:p>
      <w:pPr>
        <w:pStyle w:val="6"/>
        <w:keepNext w:val="0"/>
        <w:keepLines w:val="0"/>
        <w:pageBreakBefore w:val="0"/>
        <w:widowControl/>
        <w:kinsoku/>
        <w:wordWrap/>
        <w:overflowPunct/>
        <w:topLinePunct w:val="0"/>
        <w:autoSpaceDN/>
        <w:bidi w:val="0"/>
        <w:adjustRightInd/>
        <w:snapToGrid w:val="0"/>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（六）年初结转和结余</w:t>
      </w:r>
      <w:r>
        <w:rPr>
          <w:rFonts w:ascii="楷体" w:hAnsi="楷体" w:eastAsia="楷体" w:cs="楷体"/>
          <w:b w:val="0"/>
          <w:bCs w:val="0"/>
          <w:sz w:val="32"/>
          <w:szCs w:val="32"/>
          <w:shd w:val="clear" w:color="auto" w:fill="FFFFFF"/>
        </w:rPr>
        <w:t>：</w:t>
      </w:r>
      <w:r>
        <w:rPr>
          <w:rFonts w:ascii="方正仿宋_GBK" w:hAnsi="方正仿宋_GBK" w:eastAsia="方正仿宋_GBK" w:cs="方正仿宋_GBK"/>
          <w:b w:val="0"/>
          <w:bCs w:val="0"/>
          <w:sz w:val="32"/>
          <w:szCs w:val="32"/>
          <w:shd w:val="clear" w:color="auto" w:fill="FFFFFF"/>
        </w:rPr>
        <w:t>指单位上年结转本年使用的基本支出结转、项目支出结转和结余、经营结余。</w:t>
      </w:r>
    </w:p>
    <w:p>
      <w:pPr>
        <w:pStyle w:val="6"/>
        <w:keepNext w:val="0"/>
        <w:keepLines w:val="0"/>
        <w:pageBreakBefore w:val="0"/>
        <w:widowControl/>
        <w:kinsoku/>
        <w:wordWrap/>
        <w:overflowPunct/>
        <w:topLinePunct w:val="0"/>
        <w:autoSpaceDN/>
        <w:bidi w:val="0"/>
        <w:adjustRightInd/>
        <w:snapToGrid w:val="0"/>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（七）结余分配</w:t>
      </w:r>
      <w:r>
        <w:rPr>
          <w:rFonts w:ascii="楷体" w:hAnsi="楷体" w:eastAsia="楷体" w:cs="楷体"/>
          <w:b w:val="0"/>
          <w:bCs w:val="0"/>
          <w:sz w:val="32"/>
          <w:szCs w:val="32"/>
          <w:shd w:val="clear" w:color="auto" w:fill="FFFFFF"/>
        </w:rPr>
        <w:t>：</w:t>
      </w:r>
      <w:r>
        <w:rPr>
          <w:rFonts w:ascii="方正仿宋_GBK" w:hAnsi="方正仿宋_GBK" w:eastAsia="方正仿宋_GBK" w:cs="方正仿宋_GBK"/>
          <w:b w:val="0"/>
          <w:bCs w:val="0"/>
          <w:sz w:val="32"/>
          <w:szCs w:val="32"/>
          <w:shd w:val="clear" w:color="auto" w:fill="FFFFFF"/>
        </w:rPr>
        <w:t>指单位按照国家有关规定，缴纳所得税、提取专用基金、转入非财政拨款结余等当年结余的分配情况。</w:t>
      </w:r>
    </w:p>
    <w:p>
      <w:pPr>
        <w:pStyle w:val="6"/>
        <w:keepNext w:val="0"/>
        <w:keepLines w:val="0"/>
        <w:pageBreakBefore w:val="0"/>
        <w:widowControl/>
        <w:kinsoku/>
        <w:wordWrap/>
        <w:overflowPunct/>
        <w:topLinePunct w:val="0"/>
        <w:autoSpaceDN/>
        <w:bidi w:val="0"/>
        <w:adjustRightInd/>
        <w:snapToGrid w:val="0"/>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（八）年末结转和结余</w:t>
      </w:r>
      <w:r>
        <w:rPr>
          <w:rFonts w:ascii="楷体" w:hAnsi="楷体" w:eastAsia="楷体" w:cs="楷体"/>
          <w:b w:val="0"/>
          <w:bCs w:val="0"/>
          <w:sz w:val="32"/>
          <w:szCs w:val="32"/>
          <w:shd w:val="clear" w:color="auto" w:fill="FFFFFF"/>
        </w:rPr>
        <w:t>：</w:t>
      </w:r>
      <w:r>
        <w:rPr>
          <w:rFonts w:ascii="方正仿宋_GBK" w:hAnsi="方正仿宋_GBK" w:eastAsia="方正仿宋_GBK" w:cs="方正仿宋_GBK"/>
          <w:b w:val="0"/>
          <w:bCs w:val="0"/>
          <w:sz w:val="32"/>
          <w:szCs w:val="32"/>
          <w:shd w:val="clear" w:color="auto" w:fill="FFFFFF"/>
        </w:rPr>
        <w:t>指单位结转下年的基本支出结转、项目支出结转和结余、经营结余。</w:t>
      </w:r>
    </w:p>
    <w:p>
      <w:pPr>
        <w:pStyle w:val="6"/>
        <w:keepNext w:val="0"/>
        <w:keepLines w:val="0"/>
        <w:pageBreakBefore w:val="0"/>
        <w:widowControl/>
        <w:kinsoku/>
        <w:wordWrap/>
        <w:overflowPunct/>
        <w:topLinePunct w:val="0"/>
        <w:autoSpaceDN/>
        <w:bidi w:val="0"/>
        <w:adjustRightInd/>
        <w:snapToGrid w:val="0"/>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（九）基本支出</w:t>
      </w:r>
      <w:r>
        <w:rPr>
          <w:rFonts w:ascii="楷体" w:hAnsi="楷体" w:eastAsia="楷体" w:cs="楷体"/>
          <w:b w:val="0"/>
          <w:bCs w:val="0"/>
          <w:sz w:val="32"/>
          <w:szCs w:val="32"/>
          <w:shd w:val="clear" w:color="auto" w:fill="FFFFFF"/>
        </w:rPr>
        <w:t>：</w:t>
      </w:r>
      <w:r>
        <w:rPr>
          <w:rFonts w:ascii="方正仿宋_GBK" w:hAnsi="方正仿宋_GBK" w:eastAsia="方正仿宋_GBK" w:cs="方正仿宋_GBK"/>
          <w:b w:val="0"/>
          <w:bCs w:val="0"/>
          <w:sz w:val="32"/>
          <w:szCs w:val="32"/>
          <w:shd w:val="clear" w:color="auto"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pPr>
        <w:pStyle w:val="6"/>
        <w:keepNext w:val="0"/>
        <w:keepLines w:val="0"/>
        <w:pageBreakBefore w:val="0"/>
        <w:widowControl/>
        <w:kinsoku/>
        <w:wordWrap/>
        <w:overflowPunct/>
        <w:topLinePunct w:val="0"/>
        <w:autoSpaceDN/>
        <w:bidi w:val="0"/>
        <w:adjustRightInd/>
        <w:snapToGrid w:val="0"/>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（十）项目支出</w:t>
      </w:r>
      <w:r>
        <w:rPr>
          <w:rFonts w:ascii="楷体" w:hAnsi="楷体" w:eastAsia="楷体" w:cs="楷体"/>
          <w:b w:val="0"/>
          <w:bCs w:val="0"/>
          <w:sz w:val="32"/>
          <w:szCs w:val="32"/>
          <w:shd w:val="clear" w:color="auto" w:fill="FFFFFF"/>
        </w:rPr>
        <w:t>：</w:t>
      </w:r>
      <w:r>
        <w:rPr>
          <w:rFonts w:ascii="方正仿宋_GBK" w:hAnsi="方正仿宋_GBK" w:eastAsia="方正仿宋_GBK" w:cs="方正仿宋_GBK"/>
          <w:b w:val="0"/>
          <w:bCs w:val="0"/>
          <w:sz w:val="32"/>
          <w:szCs w:val="32"/>
          <w:shd w:val="clear" w:color="auto" w:fill="FFFFFF"/>
        </w:rPr>
        <w:t>指在基本支出</w:t>
      </w:r>
      <w:bookmarkStart w:id="0" w:name="_GoBack"/>
      <w:bookmarkEnd w:id="0"/>
      <w:r>
        <w:rPr>
          <w:rFonts w:ascii="方正仿宋_GBK" w:hAnsi="方正仿宋_GBK" w:eastAsia="方正仿宋_GBK" w:cs="方正仿宋_GBK"/>
          <w:b w:val="0"/>
          <w:bCs w:val="0"/>
          <w:sz w:val="32"/>
          <w:szCs w:val="32"/>
          <w:shd w:val="clear" w:color="auto" w:fill="FFFFFF"/>
        </w:rPr>
        <w:t>之外为完成特定行政任务和事业发展目标所发生的支出。</w:t>
      </w:r>
    </w:p>
    <w:p>
      <w:pPr>
        <w:pStyle w:val="6"/>
        <w:keepNext w:val="0"/>
        <w:keepLines w:val="0"/>
        <w:pageBreakBefore w:val="0"/>
        <w:widowControl/>
        <w:kinsoku/>
        <w:wordWrap/>
        <w:overflowPunct/>
        <w:topLinePunct w:val="0"/>
        <w:autoSpaceDN/>
        <w:bidi w:val="0"/>
        <w:adjustRightInd/>
        <w:snapToGrid w:val="0"/>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（十一）经营支出</w:t>
      </w:r>
      <w:r>
        <w:rPr>
          <w:rFonts w:ascii="楷体" w:hAnsi="楷体" w:eastAsia="楷体" w:cs="楷体"/>
          <w:b w:val="0"/>
          <w:bCs w:val="0"/>
          <w:sz w:val="32"/>
          <w:szCs w:val="32"/>
          <w:shd w:val="clear" w:color="auto" w:fill="FFFFFF"/>
        </w:rPr>
        <w:t>：</w:t>
      </w:r>
      <w:r>
        <w:rPr>
          <w:rFonts w:ascii="方正仿宋_GBK" w:hAnsi="方正仿宋_GBK" w:eastAsia="方正仿宋_GBK" w:cs="方正仿宋_GBK"/>
          <w:b w:val="0"/>
          <w:bCs w:val="0"/>
          <w:sz w:val="32"/>
          <w:szCs w:val="32"/>
          <w:shd w:val="clear" w:color="auto" w:fill="FFFFFF"/>
        </w:rPr>
        <w:t>指事业单位在专业业务活动及其辅助活动之外开展非独立核算经营活动发生的支出。</w:t>
      </w:r>
    </w:p>
    <w:p>
      <w:pPr>
        <w:pStyle w:val="6"/>
        <w:keepNext w:val="0"/>
        <w:keepLines w:val="0"/>
        <w:pageBreakBefore w:val="0"/>
        <w:widowControl/>
        <w:kinsoku/>
        <w:wordWrap/>
        <w:overflowPunct/>
        <w:topLinePunct w:val="0"/>
        <w:autoSpaceDN/>
        <w:bidi w:val="0"/>
        <w:adjustRightInd/>
        <w:snapToGrid w:val="0"/>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（十二）“三公”经费</w:t>
      </w:r>
      <w:r>
        <w:rPr>
          <w:rFonts w:ascii="楷体" w:hAnsi="楷体" w:eastAsia="楷体" w:cs="楷体"/>
          <w:b w:val="0"/>
          <w:bCs w:val="0"/>
          <w:sz w:val="32"/>
          <w:szCs w:val="32"/>
          <w:shd w:val="clear" w:color="auto" w:fill="FFFFFF"/>
        </w:rPr>
        <w:t>：</w:t>
      </w:r>
      <w:r>
        <w:rPr>
          <w:rFonts w:ascii="方正仿宋_GBK" w:hAnsi="方正仿宋_GBK" w:eastAsia="方正仿宋_GBK" w:cs="方正仿宋_GBK"/>
          <w:b w:val="0"/>
          <w:bCs w:val="0"/>
          <w:sz w:val="32"/>
          <w:szCs w:val="32"/>
          <w:shd w:val="clear" w:color="auto"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pStyle w:val="6"/>
        <w:keepNext w:val="0"/>
        <w:keepLines w:val="0"/>
        <w:pageBreakBefore w:val="0"/>
        <w:widowControl/>
        <w:kinsoku/>
        <w:wordWrap/>
        <w:overflowPunct/>
        <w:topLinePunct w:val="0"/>
        <w:autoSpaceDN/>
        <w:bidi w:val="0"/>
        <w:adjustRightInd/>
        <w:snapToGrid w:val="0"/>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（十三）机关运行经费</w:t>
      </w:r>
      <w:r>
        <w:rPr>
          <w:rFonts w:ascii="楷体" w:hAnsi="楷体" w:eastAsia="楷体" w:cs="楷体"/>
          <w:b w:val="0"/>
          <w:bCs w:val="0"/>
          <w:sz w:val="32"/>
          <w:szCs w:val="32"/>
          <w:shd w:val="clear" w:color="auto" w:fill="FFFFFF"/>
        </w:rPr>
        <w:t>：</w:t>
      </w:r>
      <w:r>
        <w:rPr>
          <w:rFonts w:ascii="方正仿宋_GBK" w:hAnsi="方正仿宋_GBK" w:eastAsia="方正仿宋_GBK" w:cs="方正仿宋_GBK"/>
          <w:b w:val="0"/>
          <w:bCs w:val="0"/>
          <w:sz w:val="32"/>
          <w:szCs w:val="32"/>
          <w:shd w:val="clear" w:color="auto"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pPr>
        <w:pStyle w:val="6"/>
        <w:keepNext w:val="0"/>
        <w:keepLines w:val="0"/>
        <w:pageBreakBefore w:val="0"/>
        <w:widowControl/>
        <w:kinsoku/>
        <w:wordWrap/>
        <w:overflowPunct/>
        <w:topLinePunct w:val="0"/>
        <w:autoSpaceDN/>
        <w:bidi w:val="0"/>
        <w:adjustRightInd/>
        <w:snapToGrid w:val="0"/>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（十四）工资福利支出（支出经济分类科目类级）</w:t>
      </w:r>
      <w:r>
        <w:rPr>
          <w:rFonts w:ascii="楷体" w:hAnsi="楷体" w:eastAsia="楷体" w:cs="楷体"/>
          <w:b w:val="0"/>
          <w:bCs w:val="0"/>
          <w:sz w:val="32"/>
          <w:szCs w:val="32"/>
          <w:shd w:val="clear" w:color="auto" w:fill="FFFFFF"/>
        </w:rPr>
        <w:t>：</w:t>
      </w:r>
      <w:r>
        <w:rPr>
          <w:rFonts w:ascii="方正仿宋_GBK" w:hAnsi="方正仿宋_GBK" w:eastAsia="方正仿宋_GBK" w:cs="方正仿宋_GBK"/>
          <w:b w:val="0"/>
          <w:bCs w:val="0"/>
          <w:sz w:val="32"/>
          <w:szCs w:val="32"/>
          <w:shd w:val="clear" w:color="auto" w:fill="FFFFFF"/>
        </w:rPr>
        <w:t>反映单位开支的在职职工和编制外长期聘用人员的各类劳动报酬，以及为上述人员缴纳的各项社会保险费等。</w:t>
      </w:r>
    </w:p>
    <w:p>
      <w:pPr>
        <w:pStyle w:val="6"/>
        <w:keepNext w:val="0"/>
        <w:keepLines w:val="0"/>
        <w:pageBreakBefore w:val="0"/>
        <w:widowControl/>
        <w:kinsoku/>
        <w:wordWrap/>
        <w:overflowPunct/>
        <w:topLinePunct w:val="0"/>
        <w:autoSpaceDN/>
        <w:bidi w:val="0"/>
        <w:adjustRightInd/>
        <w:snapToGrid w:val="0"/>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（十五）商品和服务支出（支出经济分类科目类级）</w:t>
      </w:r>
      <w:r>
        <w:rPr>
          <w:rFonts w:ascii="楷体" w:hAnsi="楷体" w:eastAsia="楷体" w:cs="楷体"/>
          <w:b w:val="0"/>
          <w:bCs w:val="0"/>
          <w:sz w:val="32"/>
          <w:szCs w:val="32"/>
          <w:shd w:val="clear" w:color="auto" w:fill="FFFFFF"/>
        </w:rPr>
        <w:t>：</w:t>
      </w:r>
      <w:r>
        <w:rPr>
          <w:rFonts w:ascii="方正仿宋_GBK" w:hAnsi="方正仿宋_GBK" w:eastAsia="方正仿宋_GBK" w:cs="方正仿宋_GBK"/>
          <w:b w:val="0"/>
          <w:bCs w:val="0"/>
          <w:sz w:val="32"/>
          <w:szCs w:val="32"/>
          <w:shd w:val="clear" w:color="auto" w:fill="FFFFFF"/>
        </w:rPr>
        <w:t>反映单位购买商品和服务的支出（不包括用于购置固定资产的支出、战略性和应急储备支出）。</w:t>
      </w:r>
    </w:p>
    <w:p>
      <w:pPr>
        <w:pStyle w:val="6"/>
        <w:keepNext w:val="0"/>
        <w:keepLines w:val="0"/>
        <w:pageBreakBefore w:val="0"/>
        <w:widowControl/>
        <w:kinsoku/>
        <w:wordWrap/>
        <w:overflowPunct/>
        <w:topLinePunct w:val="0"/>
        <w:autoSpaceDN/>
        <w:bidi w:val="0"/>
        <w:adjustRightInd/>
        <w:snapToGrid w:val="0"/>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（十六）对个人和家庭的补助（支出经济分类科目类级）</w:t>
      </w:r>
      <w:r>
        <w:rPr>
          <w:rFonts w:ascii="楷体" w:hAnsi="楷体" w:eastAsia="楷体" w:cs="楷体"/>
          <w:b w:val="0"/>
          <w:bCs w:val="0"/>
          <w:sz w:val="32"/>
          <w:szCs w:val="32"/>
          <w:shd w:val="clear" w:color="auto" w:fill="FFFFFF"/>
        </w:rPr>
        <w:t>：</w:t>
      </w:r>
      <w:r>
        <w:rPr>
          <w:rFonts w:ascii="方正仿宋_GBK" w:hAnsi="方正仿宋_GBK" w:eastAsia="方正仿宋_GBK" w:cs="方正仿宋_GBK"/>
          <w:b w:val="0"/>
          <w:bCs w:val="0"/>
          <w:sz w:val="32"/>
          <w:szCs w:val="32"/>
          <w:shd w:val="clear" w:color="auto" w:fill="FFFFFF"/>
        </w:rPr>
        <w:t>反映用于对个人和家庭的补助支出。</w:t>
      </w:r>
    </w:p>
    <w:p>
      <w:pPr>
        <w:pStyle w:val="6"/>
        <w:keepNext w:val="0"/>
        <w:keepLines w:val="0"/>
        <w:pageBreakBefore w:val="0"/>
        <w:widowControl/>
        <w:kinsoku/>
        <w:wordWrap/>
        <w:overflowPunct/>
        <w:topLinePunct w:val="0"/>
        <w:autoSpaceDN/>
        <w:bidi w:val="0"/>
        <w:adjustRightInd/>
        <w:snapToGrid w:val="0"/>
        <w:spacing w:before="0" w:beforeAutospacing="0" w:after="0" w:afterAutospacing="0" w:line="600" w:lineRule="exact"/>
        <w:ind w:firstLine="640" w:firstLineChars="200"/>
        <w:jc w:val="both"/>
        <w:textAlignment w:val="auto"/>
        <w:rPr>
          <w:rFonts w:hint="default" w:ascii="方正仿宋_GBK" w:hAnsi="方正仿宋_GBK" w:eastAsia="方正仿宋_GBK" w:cs="方正仿宋_GBK"/>
          <w:b w:val="0"/>
          <w:bCs w:val="0"/>
          <w:sz w:val="32"/>
          <w:szCs w:val="32"/>
        </w:rPr>
      </w:pPr>
      <w:r>
        <w:rPr>
          <w:rStyle w:val="10"/>
          <w:rFonts w:ascii="楷体" w:hAnsi="楷体" w:eastAsia="楷体" w:cs="楷体"/>
          <w:b w:val="0"/>
          <w:bCs w:val="0"/>
          <w:sz w:val="32"/>
          <w:szCs w:val="32"/>
          <w:shd w:val="clear" w:color="auto" w:fill="FFFFFF"/>
        </w:rPr>
        <w:t>（十七）其他资本性支出（支出经济分类科目类级）</w:t>
      </w:r>
      <w:r>
        <w:rPr>
          <w:rFonts w:ascii="楷体" w:hAnsi="楷体" w:eastAsia="楷体" w:cs="楷体"/>
          <w:b w:val="0"/>
          <w:bCs w:val="0"/>
          <w:sz w:val="32"/>
          <w:szCs w:val="32"/>
          <w:shd w:val="clear" w:color="auto" w:fill="FFFFFF"/>
        </w:rPr>
        <w:t>：</w:t>
      </w:r>
      <w:r>
        <w:rPr>
          <w:rFonts w:ascii="方正仿宋_GBK" w:hAnsi="方正仿宋_GBK" w:eastAsia="方正仿宋_GBK" w:cs="方正仿宋_GBK"/>
          <w:b w:val="0"/>
          <w:bCs w:val="0"/>
          <w:sz w:val="32"/>
          <w:szCs w:val="32"/>
          <w:shd w:val="clear" w:color="auto" w:fill="FFFFFF"/>
        </w:rPr>
        <w:t>反映非各级发展与改革部门集中安排的用于购置固定资产、战略性和应急性储备、土地和无形资产，以及构建基础设施、大型修缮和财政支持企业更新改造所发生的支出。</w:t>
      </w:r>
    </w:p>
    <w:p>
      <w:pPr>
        <w:pStyle w:val="6"/>
        <w:keepNext w:val="0"/>
        <w:keepLines w:val="0"/>
        <w:pageBreakBefore w:val="0"/>
        <w:widowControl/>
        <w:shd w:val="clear" w:color="auto" w:fill="FFFFFF"/>
        <w:kinsoku/>
        <w:wordWrap/>
        <w:overflowPunct/>
        <w:topLinePunct w:val="0"/>
        <w:autoSpaceDN/>
        <w:bidi w:val="0"/>
        <w:adjustRightInd/>
        <w:spacing w:before="0" w:beforeAutospacing="0" w:after="0" w:afterAutospacing="0" w:line="600" w:lineRule="exact"/>
        <w:ind w:firstLine="640" w:firstLineChars="200"/>
        <w:textAlignment w:val="auto"/>
        <w:rPr>
          <w:rStyle w:val="10"/>
          <w:rFonts w:hint="default" w:ascii="方正仿宋_GBK" w:hAnsi="方正仿宋_GBK" w:eastAsia="方正仿宋_GBK" w:cs="方正仿宋_GBK"/>
          <w:b w:val="0"/>
          <w:bCs w:val="0"/>
          <w:sz w:val="32"/>
          <w:szCs w:val="32"/>
          <w:shd w:val="clear" w:color="auto" w:fill="FFFFFF"/>
        </w:rPr>
      </w:pPr>
      <w:r>
        <w:rPr>
          <w:rStyle w:val="10"/>
          <w:rFonts w:ascii="黑体" w:hAnsi="黑体" w:eastAsia="黑体" w:cs="黑体"/>
          <w:b w:val="0"/>
          <w:bCs w:val="0"/>
          <w:sz w:val="32"/>
          <w:szCs w:val="32"/>
          <w:shd w:val="clear" w:color="auto" w:fill="FFFFFF"/>
        </w:rPr>
        <w:t>七、决算公开联系方式及信息反馈渠道</w:t>
      </w:r>
    </w:p>
    <w:p>
      <w:pPr>
        <w:pStyle w:val="11"/>
        <w:keepNext w:val="0"/>
        <w:keepLines w:val="0"/>
        <w:pageBreakBefore w:val="0"/>
        <w:widowControl/>
        <w:kinsoku/>
        <w:wordWrap/>
        <w:overflowPunct/>
        <w:topLinePunct w:val="0"/>
        <w:autoSpaceDE w:val="0"/>
        <w:autoSpaceDN/>
        <w:bidi w:val="0"/>
        <w:adjustRightInd/>
        <w:spacing w:beforeAutospacing="0" w:afterAutospacing="0" w:line="600" w:lineRule="exact"/>
        <w:ind w:firstLine="640" w:firstLineChars="200"/>
        <w:textAlignment w:val="auto"/>
        <w:rPr>
          <w:rFonts w:hint="default" w:cs="宋体"/>
          <w:b w:val="0"/>
          <w:bCs w:val="0"/>
          <w:sz w:val="21"/>
          <w:szCs w:val="21"/>
        </w:rPr>
      </w:pPr>
      <w:r>
        <w:rPr>
          <w:rFonts w:ascii="方正仿宋_GBK" w:hAnsi="方正仿宋_GBK" w:eastAsia="方正仿宋_GBK" w:cs="方正仿宋_GBK"/>
          <w:b w:val="0"/>
          <w:bCs w:val="0"/>
          <w:sz w:val="32"/>
          <w:szCs w:val="32"/>
          <w:shd w:val="clear" w:color="auto" w:fill="FFFFFF"/>
        </w:rPr>
        <w:t>本单位决算公开信息反馈和联系方式：</w:t>
      </w:r>
      <w:r>
        <w:rPr>
          <w:rFonts w:hint="eastAsia" w:ascii="方正仿宋_GBK" w:hAnsi="方正仿宋_GBK" w:eastAsia="方正仿宋_GBK" w:cs="方正仿宋_GBK"/>
          <w:b w:val="0"/>
          <w:bCs w:val="0"/>
          <w:sz w:val="32"/>
          <w:szCs w:val="32"/>
          <w:shd w:val="clear" w:color="auto" w:fill="FFFFFF"/>
          <w:lang w:eastAsia="zh-CN"/>
        </w:rPr>
        <w:t>聂同志</w:t>
      </w:r>
      <w:r>
        <w:rPr>
          <w:rFonts w:hint="eastAsia" w:ascii="方正仿宋_GBK" w:hAnsi="方正仿宋_GBK" w:eastAsia="方正仿宋_GBK" w:cs="方正仿宋_GBK"/>
          <w:b w:val="0"/>
          <w:bCs w:val="0"/>
          <w:sz w:val="32"/>
          <w:szCs w:val="32"/>
          <w:shd w:val="clear" w:color="auto" w:fill="FFFFFF"/>
          <w:lang w:val="en-US" w:eastAsia="zh-CN"/>
        </w:rPr>
        <w:t xml:space="preserve"> 72865345</w:t>
      </w:r>
    </w:p>
    <w:sectPr>
      <w:headerReference r:id="rId3" w:type="default"/>
      <w:footerReference r:id="rId4" w:type="default"/>
      <w:pgSz w:w="11907" w:h="16839"/>
      <w:pgMar w:top="1984" w:right="1446" w:bottom="1644" w:left="1446" w:header="0" w:footer="283" w:gutter="0"/>
      <w:pgNumType w:fmt="numberInDash"/>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2000000000000000000"/>
    <w:charset w:val="86"/>
    <w:family w:val="script"/>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微软雅黑">
    <w:altName w:val="方正黑体_GBK"/>
    <w:panose1 w:val="020B0503020204020204"/>
    <w:charset w:val="86"/>
    <w:family w:val="swiss"/>
    <w:pitch w:val="default"/>
    <w:sig w:usb0="00000000" w:usb1="00000000"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sans-serif">
    <w:altName w:val="汉仪仿宋S"/>
    <w:panose1 w:val="00000000000000000000"/>
    <w:charset w:val="00"/>
    <w:family w:val="auto"/>
    <w:pitch w:val="default"/>
    <w:sig w:usb0="00000000" w:usb1="00000000" w:usb2="00000000" w:usb3="00000000" w:csb0="00000000" w:csb1="00000000"/>
  </w:font>
  <w:font w:name="汉仪仿宋S">
    <w:panose1 w:val="00020600040101000101"/>
    <w:charset w:val="86"/>
    <w:family w:val="auto"/>
    <w:pitch w:val="default"/>
    <w:sig w:usb0="A00002BF" w:usb1="38CF7CFA" w:usb2="00000016"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both"/>
      <w:rPr>
        <w:rFonts w:hint="default"/>
      </w:rPr>
    </w:pPr>
    <w:r>
      <w:rPr>
        <w:rFonts w:hint="default"/>
      </w:rPr>
      <mc:AlternateContent>
        <mc:Choice Requires="wps">
          <w:drawing>
            <wp:anchor distT="0" distB="0" distL="114300" distR="114300" simplePos="0" relativeHeight="251660288" behindDoc="0" locked="0" layoutInCell="1" allowOverlap="0">
              <wp:simplePos x="0" y="0"/>
              <wp:positionH relativeFrom="margin">
                <wp:align>center</wp:align>
              </wp:positionH>
              <wp:positionV relativeFrom="paragraph">
                <wp:posOffset>0</wp:posOffset>
              </wp:positionV>
              <wp:extent cx="1828800" cy="1828800"/>
              <wp:effectExtent l="0" t="0" r="0" b="0"/>
              <wp:wrapNone/>
              <wp:docPr id="127" name="文本框 12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3"/>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25 -</w:t>
                          </w:r>
                          <w:r>
                            <w:fldChar w:fldCharType="end"/>
                          </w:r>
                          <w:r>
                            <w:t xml:space="preserve"> </w:t>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allowoverlap="f"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8Y1JphwCAAArBAAADgAAAAAAAAABACAAAAA1AQAAZHJzL2Uyb0RvYy54bWxQSwUG&#10;AAAAAAYABgBZAQAAwwUAAAAA&#10;">
              <v:fill on="f" focussize="0,0"/>
              <v:stroke on="f" weight="0.5pt"/>
              <v:imagedata o:title=""/>
              <o:lock v:ext="edit" aspectratio="f"/>
              <v:textbox inset="0mm,0mm,0mm,0mm" style="mso-fit-shape-to-text:t;">
                <w:txbxContent>
                  <w:p>
                    <w:pPr>
                      <w:pStyle w:val="3"/>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25 -</w:t>
                    </w:r>
                    <w:r>
                      <w:fldChar w:fldCharType="end"/>
                    </w:r>
                    <w:r>
                      <w:t xml:space="preserve"> </w:t>
                    </w:r>
                  </w:p>
                </w:txbxContent>
              </v:textbox>
            </v:shape>
          </w:pict>
        </mc:Fallback>
      </mc:AlternateContent>
    </w:r>
    <w:r>
      <w:rPr>
        <w:rFonts w:hint="default"/>
      </w:rPr>
      <mc:AlternateContent>
        <mc:Choice Requires="wps">
          <w:drawing>
            <wp:anchor distT="0" distB="0" distL="114300" distR="114300" simplePos="0" relativeHeight="251659264" behindDoc="0" locked="0" layoutInCell="1" allowOverlap="0">
              <wp:simplePos x="0" y="0"/>
              <wp:positionH relativeFrom="margin">
                <wp:align>center</wp:align>
              </wp:positionH>
              <wp:positionV relativeFrom="page">
                <wp:posOffset>14737080</wp:posOffset>
              </wp:positionV>
              <wp:extent cx="1828800" cy="220980"/>
              <wp:effectExtent l="0" t="0" r="0" b="0"/>
              <wp:wrapNone/>
              <wp:docPr id="126" name="文本框 126"/>
              <wp:cNvGraphicFramePr/>
              <a:graphic xmlns:a="http://schemas.openxmlformats.org/drawingml/2006/main">
                <a:graphicData uri="http://schemas.microsoft.com/office/word/2010/wordprocessingShape">
                  <wps:wsp>
                    <wps:cNvSpPr txBox="true"/>
                    <wps:spPr>
                      <a:xfrm>
                        <a:off x="0" y="0"/>
                        <a:ext cx="1828800" cy="220980"/>
                      </a:xfrm>
                      <a:prstGeom prst="rect">
                        <a:avLst/>
                      </a:prstGeom>
                      <a:noFill/>
                      <a:ln w="6350">
                        <a:noFill/>
                      </a:ln>
                      <a:effectLst/>
                    </wps:spPr>
                    <wps:txbx>
                      <w:txbxContent>
                        <w:p>
                          <w:pPr>
                            <w:pStyle w:val="3"/>
                            <w:jc w:val="both"/>
                            <w:rPr>
                              <w:rFonts w:hint="default" w:cs="宋体"/>
                            </w:rPr>
                          </w:pPr>
                          <w:r>
                            <w:rPr>
                              <w:rFonts w:cs="宋体"/>
                            </w:rPr>
                            <w:t>— 27.1 —</w:t>
                          </w:r>
                        </w:p>
                      </w:txbxContent>
                    </wps:txbx>
                    <wps:bodyPr rot="0" spcFirstLastPara="0" vertOverflow="overflow" horzOverflow="overflow" vert="horz" wrap="none" lIns="0" tIns="0" rIns="0" bIns="0" numCol="1" spcCol="0" rtlCol="0" fromWordArt="false" anchor="t" anchorCtr="false" forceAA="false" compatLnSpc="true">
                      <a:noAutofit/>
                    </wps:bodyPr>
                  </wps:wsp>
                </a:graphicData>
              </a:graphic>
            </wp:anchor>
          </w:drawing>
        </mc:Choice>
        <mc:Fallback>
          <w:pict>
            <v:shape id="_x0000_s1026" o:spid="_x0000_s1026"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FgAAAGRy&#10;cy9QSwECFAAUAAAACACHTuJAeA1UVNgAAAAKAQAADwAAAAAAAAABACAAAAA4AAAAZHJzL2Rvd25y&#10;ZXYueG1sUEsBAhQAFAAAAAgAh07iQJMZTUchAgAAKgQAAA4AAAAAAAAAAQAgAAAAPQEAAGRycy9l&#10;Mm9Eb2MueG1sUEsFBgAAAAAGAAYAWQEAANAFAAAAAA==&#10;">
              <v:fill on="f" focussize="0,0"/>
              <v:stroke on="f" weight="0.5pt"/>
              <v:imagedata o:title=""/>
              <o:lock v:ext="edit" aspectratio="f"/>
              <v:textbox inset="0mm,0mm,0mm,0mm">
                <w:txbxContent>
                  <w:p>
                    <w:pPr>
                      <w:pStyle w:val="3"/>
                      <w:jc w:val="both"/>
                      <w:rPr>
                        <w:rFonts w:hint="default" w:cs="宋体"/>
                      </w:rPr>
                    </w:pPr>
                    <w:r>
                      <w:rPr>
                        <w:rFonts w:cs="宋体"/>
                      </w:rPr>
                      <w:t>— 27.1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left" w:pos="1758"/>
        <w:tab w:val="clear" w:pos="4153"/>
        <w:tab w:val="clear" w:pos="8306"/>
      </w:tabs>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HorizontalSpacing w:val="120"/>
  <w:drawingGridVerticalSpacing w:val="163"/>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wYWQ1YTE0ZDA0NjgxYzlhMjZlMDExNTFmMWI3MmEifQ=="/>
  </w:docVars>
  <w:rsids>
    <w:rsidRoot w:val="00B03CCD"/>
    <w:rsid w:val="00270E53"/>
    <w:rsid w:val="002B254B"/>
    <w:rsid w:val="004A597F"/>
    <w:rsid w:val="00550ABE"/>
    <w:rsid w:val="00770383"/>
    <w:rsid w:val="007819D4"/>
    <w:rsid w:val="007B419D"/>
    <w:rsid w:val="00853209"/>
    <w:rsid w:val="009B67B8"/>
    <w:rsid w:val="009D2B67"/>
    <w:rsid w:val="00B03CCD"/>
    <w:rsid w:val="00B05EC2"/>
    <w:rsid w:val="00C20C3E"/>
    <w:rsid w:val="00F73F90"/>
    <w:rsid w:val="01474EBF"/>
    <w:rsid w:val="01F3521E"/>
    <w:rsid w:val="03B87EA0"/>
    <w:rsid w:val="03E3214F"/>
    <w:rsid w:val="044C50BA"/>
    <w:rsid w:val="05BC6D49"/>
    <w:rsid w:val="06194FF1"/>
    <w:rsid w:val="06A2550B"/>
    <w:rsid w:val="06F80EE2"/>
    <w:rsid w:val="07001CCA"/>
    <w:rsid w:val="071449E1"/>
    <w:rsid w:val="075678DB"/>
    <w:rsid w:val="079D7CC7"/>
    <w:rsid w:val="08051BCA"/>
    <w:rsid w:val="086C12F4"/>
    <w:rsid w:val="08705944"/>
    <w:rsid w:val="08BA052C"/>
    <w:rsid w:val="08DB07BA"/>
    <w:rsid w:val="0969353F"/>
    <w:rsid w:val="098305D0"/>
    <w:rsid w:val="0A3317EA"/>
    <w:rsid w:val="0A5C4B69"/>
    <w:rsid w:val="0A86124A"/>
    <w:rsid w:val="0AB54CC0"/>
    <w:rsid w:val="0B017043"/>
    <w:rsid w:val="0B9335CE"/>
    <w:rsid w:val="0BF2311A"/>
    <w:rsid w:val="0C7927C4"/>
    <w:rsid w:val="0C9B098C"/>
    <w:rsid w:val="0D673E11"/>
    <w:rsid w:val="0D674D12"/>
    <w:rsid w:val="0DDA54E4"/>
    <w:rsid w:val="0E3A5F83"/>
    <w:rsid w:val="0EE74408"/>
    <w:rsid w:val="0F836721"/>
    <w:rsid w:val="0FA25D96"/>
    <w:rsid w:val="0FD0094D"/>
    <w:rsid w:val="107B59E5"/>
    <w:rsid w:val="10EC0126"/>
    <w:rsid w:val="10F70B9A"/>
    <w:rsid w:val="111445C7"/>
    <w:rsid w:val="114278C6"/>
    <w:rsid w:val="115107C8"/>
    <w:rsid w:val="1158083A"/>
    <w:rsid w:val="1159793B"/>
    <w:rsid w:val="115D1DC5"/>
    <w:rsid w:val="11643A4B"/>
    <w:rsid w:val="11ED0F98"/>
    <w:rsid w:val="11F03528"/>
    <w:rsid w:val="12C921C4"/>
    <w:rsid w:val="13156C79"/>
    <w:rsid w:val="13871C70"/>
    <w:rsid w:val="13A71CB4"/>
    <w:rsid w:val="13AF1D43"/>
    <w:rsid w:val="13CE1647"/>
    <w:rsid w:val="13FD55AB"/>
    <w:rsid w:val="14200702"/>
    <w:rsid w:val="145342E4"/>
    <w:rsid w:val="163A6CEE"/>
    <w:rsid w:val="173708E3"/>
    <w:rsid w:val="17C374FC"/>
    <w:rsid w:val="182E4AB6"/>
    <w:rsid w:val="189079DC"/>
    <w:rsid w:val="189B0D0B"/>
    <w:rsid w:val="18B43F7C"/>
    <w:rsid w:val="194A1770"/>
    <w:rsid w:val="19B906A4"/>
    <w:rsid w:val="1A6B5E42"/>
    <w:rsid w:val="1B6F15B6"/>
    <w:rsid w:val="1BAA2EDC"/>
    <w:rsid w:val="1CA55E64"/>
    <w:rsid w:val="1CC677C6"/>
    <w:rsid w:val="1D014A01"/>
    <w:rsid w:val="1D022362"/>
    <w:rsid w:val="1D1B04B0"/>
    <w:rsid w:val="1DA52501"/>
    <w:rsid w:val="1DBD6767"/>
    <w:rsid w:val="1DC52125"/>
    <w:rsid w:val="1DD26311"/>
    <w:rsid w:val="1E374ACB"/>
    <w:rsid w:val="1ECF0A66"/>
    <w:rsid w:val="1ED244D1"/>
    <w:rsid w:val="1EF67CA4"/>
    <w:rsid w:val="1F020D3A"/>
    <w:rsid w:val="1F1D1533"/>
    <w:rsid w:val="1F2C5189"/>
    <w:rsid w:val="1F4B0B02"/>
    <w:rsid w:val="1FBB35CD"/>
    <w:rsid w:val="1FCD26AF"/>
    <w:rsid w:val="20642787"/>
    <w:rsid w:val="21556F04"/>
    <w:rsid w:val="22403BD3"/>
    <w:rsid w:val="24B92327"/>
    <w:rsid w:val="24C14514"/>
    <w:rsid w:val="2533755C"/>
    <w:rsid w:val="25791755"/>
    <w:rsid w:val="26396DF4"/>
    <w:rsid w:val="27167136"/>
    <w:rsid w:val="271B442C"/>
    <w:rsid w:val="27B23302"/>
    <w:rsid w:val="29310A5F"/>
    <w:rsid w:val="29C37A35"/>
    <w:rsid w:val="2A076083"/>
    <w:rsid w:val="2A73162E"/>
    <w:rsid w:val="2B167953"/>
    <w:rsid w:val="2B200583"/>
    <w:rsid w:val="2B8209DE"/>
    <w:rsid w:val="2B8A75DF"/>
    <w:rsid w:val="2C636760"/>
    <w:rsid w:val="2C6762A3"/>
    <w:rsid w:val="2D1E205E"/>
    <w:rsid w:val="2EAB60CF"/>
    <w:rsid w:val="2FCA4B37"/>
    <w:rsid w:val="2FE029D7"/>
    <w:rsid w:val="2FF06E00"/>
    <w:rsid w:val="30586FEC"/>
    <w:rsid w:val="315F0B22"/>
    <w:rsid w:val="31D652F1"/>
    <w:rsid w:val="31D84415"/>
    <w:rsid w:val="32285F6F"/>
    <w:rsid w:val="32770556"/>
    <w:rsid w:val="329C0913"/>
    <w:rsid w:val="32AA0460"/>
    <w:rsid w:val="3337290D"/>
    <w:rsid w:val="337E1BCD"/>
    <w:rsid w:val="33E31118"/>
    <w:rsid w:val="33EF7674"/>
    <w:rsid w:val="342D7BC6"/>
    <w:rsid w:val="352930DB"/>
    <w:rsid w:val="35573069"/>
    <w:rsid w:val="355F6038"/>
    <w:rsid w:val="358C217E"/>
    <w:rsid w:val="36C9128A"/>
    <w:rsid w:val="37841E99"/>
    <w:rsid w:val="37BF1123"/>
    <w:rsid w:val="383C3F15"/>
    <w:rsid w:val="38BE4696"/>
    <w:rsid w:val="3939115E"/>
    <w:rsid w:val="39B82A39"/>
    <w:rsid w:val="39C42CA8"/>
    <w:rsid w:val="39DC4FD6"/>
    <w:rsid w:val="39F03D7A"/>
    <w:rsid w:val="39F33306"/>
    <w:rsid w:val="3A2C1C67"/>
    <w:rsid w:val="3ADD7F09"/>
    <w:rsid w:val="3B1705E5"/>
    <w:rsid w:val="3B18334B"/>
    <w:rsid w:val="3B36794F"/>
    <w:rsid w:val="3B6F6EE0"/>
    <w:rsid w:val="3C3E6327"/>
    <w:rsid w:val="3C566AD6"/>
    <w:rsid w:val="3C594871"/>
    <w:rsid w:val="3C6A5B02"/>
    <w:rsid w:val="3D2757A1"/>
    <w:rsid w:val="3D3D4FC4"/>
    <w:rsid w:val="3DDF3AB1"/>
    <w:rsid w:val="3E1D0952"/>
    <w:rsid w:val="3E42660A"/>
    <w:rsid w:val="3E7555B1"/>
    <w:rsid w:val="3E787ED9"/>
    <w:rsid w:val="3F032E93"/>
    <w:rsid w:val="3F0527E5"/>
    <w:rsid w:val="3F694D83"/>
    <w:rsid w:val="3F885DCC"/>
    <w:rsid w:val="3FCD675E"/>
    <w:rsid w:val="4004000C"/>
    <w:rsid w:val="40BD5482"/>
    <w:rsid w:val="411B6CE5"/>
    <w:rsid w:val="412070D7"/>
    <w:rsid w:val="41314E40"/>
    <w:rsid w:val="41BA691D"/>
    <w:rsid w:val="41E0734B"/>
    <w:rsid w:val="426C1EA8"/>
    <w:rsid w:val="42736402"/>
    <w:rsid w:val="428575F7"/>
    <w:rsid w:val="42E86A87"/>
    <w:rsid w:val="43307B09"/>
    <w:rsid w:val="439A3EB9"/>
    <w:rsid w:val="43BB152F"/>
    <w:rsid w:val="44C37687"/>
    <w:rsid w:val="45CB699A"/>
    <w:rsid w:val="465B470D"/>
    <w:rsid w:val="469D6AD4"/>
    <w:rsid w:val="471E6C84"/>
    <w:rsid w:val="4748792B"/>
    <w:rsid w:val="475D719D"/>
    <w:rsid w:val="47674801"/>
    <w:rsid w:val="48225EF7"/>
    <w:rsid w:val="488F422B"/>
    <w:rsid w:val="48C46994"/>
    <w:rsid w:val="48E36915"/>
    <w:rsid w:val="48EB6572"/>
    <w:rsid w:val="495C4A24"/>
    <w:rsid w:val="497135DF"/>
    <w:rsid w:val="4A263DF2"/>
    <w:rsid w:val="4A6220FA"/>
    <w:rsid w:val="4A6F6675"/>
    <w:rsid w:val="4B135857"/>
    <w:rsid w:val="4B7951CB"/>
    <w:rsid w:val="4B7C315C"/>
    <w:rsid w:val="4DAC4ACA"/>
    <w:rsid w:val="4DBE01D2"/>
    <w:rsid w:val="4F0C6BA3"/>
    <w:rsid w:val="4F186D58"/>
    <w:rsid w:val="4F9F43C3"/>
    <w:rsid w:val="50F06B6E"/>
    <w:rsid w:val="51D21804"/>
    <w:rsid w:val="52234D33"/>
    <w:rsid w:val="522F6E0C"/>
    <w:rsid w:val="52463BA1"/>
    <w:rsid w:val="52F163D4"/>
    <w:rsid w:val="531A2DB4"/>
    <w:rsid w:val="53C0244D"/>
    <w:rsid w:val="53DD4D4E"/>
    <w:rsid w:val="53E578CE"/>
    <w:rsid w:val="541330F0"/>
    <w:rsid w:val="54272666"/>
    <w:rsid w:val="543B029D"/>
    <w:rsid w:val="54861779"/>
    <w:rsid w:val="552256E1"/>
    <w:rsid w:val="554E5773"/>
    <w:rsid w:val="555A3CBC"/>
    <w:rsid w:val="5582012B"/>
    <w:rsid w:val="558E4E05"/>
    <w:rsid w:val="55BE2E85"/>
    <w:rsid w:val="56530F5D"/>
    <w:rsid w:val="567700D3"/>
    <w:rsid w:val="56FF7E9E"/>
    <w:rsid w:val="578867FC"/>
    <w:rsid w:val="5842572D"/>
    <w:rsid w:val="5A3B59D6"/>
    <w:rsid w:val="5AD134D8"/>
    <w:rsid w:val="5B6F1194"/>
    <w:rsid w:val="5BF00F47"/>
    <w:rsid w:val="5C263CE4"/>
    <w:rsid w:val="5C5D2777"/>
    <w:rsid w:val="5CF66BF3"/>
    <w:rsid w:val="5D290C69"/>
    <w:rsid w:val="5F2D4A41"/>
    <w:rsid w:val="5FF9782E"/>
    <w:rsid w:val="60C74F6C"/>
    <w:rsid w:val="61025A59"/>
    <w:rsid w:val="613D5BBC"/>
    <w:rsid w:val="61536C39"/>
    <w:rsid w:val="62944DD7"/>
    <w:rsid w:val="6319381F"/>
    <w:rsid w:val="63C25DC5"/>
    <w:rsid w:val="63C62057"/>
    <w:rsid w:val="64571EF5"/>
    <w:rsid w:val="64FB113D"/>
    <w:rsid w:val="656152C6"/>
    <w:rsid w:val="6587477F"/>
    <w:rsid w:val="658C3A08"/>
    <w:rsid w:val="65C031CA"/>
    <w:rsid w:val="65CE6852"/>
    <w:rsid w:val="66267C04"/>
    <w:rsid w:val="663F505A"/>
    <w:rsid w:val="66EE5541"/>
    <w:rsid w:val="67924660"/>
    <w:rsid w:val="68407834"/>
    <w:rsid w:val="6883293E"/>
    <w:rsid w:val="688412AD"/>
    <w:rsid w:val="68EB1B71"/>
    <w:rsid w:val="6A6C7940"/>
    <w:rsid w:val="6AAD2300"/>
    <w:rsid w:val="6B474EF5"/>
    <w:rsid w:val="6C0A5AC5"/>
    <w:rsid w:val="6C560CAE"/>
    <w:rsid w:val="6C576495"/>
    <w:rsid w:val="6D903FF5"/>
    <w:rsid w:val="6DA955B8"/>
    <w:rsid w:val="6DE346AB"/>
    <w:rsid w:val="6DE5391A"/>
    <w:rsid w:val="6E0C6169"/>
    <w:rsid w:val="6EFD1324"/>
    <w:rsid w:val="6F5A53AC"/>
    <w:rsid w:val="6FAC003D"/>
    <w:rsid w:val="6FE55E12"/>
    <w:rsid w:val="6FFB2E76"/>
    <w:rsid w:val="708F6F7F"/>
    <w:rsid w:val="70D94BD3"/>
    <w:rsid w:val="71C34D91"/>
    <w:rsid w:val="72DB435C"/>
    <w:rsid w:val="72E2613A"/>
    <w:rsid w:val="72F771F4"/>
    <w:rsid w:val="73934AD2"/>
    <w:rsid w:val="743F5851"/>
    <w:rsid w:val="75053E40"/>
    <w:rsid w:val="750837F0"/>
    <w:rsid w:val="754758CF"/>
    <w:rsid w:val="75BA64AB"/>
    <w:rsid w:val="7646068F"/>
    <w:rsid w:val="764F62AB"/>
    <w:rsid w:val="765C45EC"/>
    <w:rsid w:val="768A7619"/>
    <w:rsid w:val="772E1EBA"/>
    <w:rsid w:val="781926BC"/>
    <w:rsid w:val="796D60A4"/>
    <w:rsid w:val="79A031D5"/>
    <w:rsid w:val="7A1525F7"/>
    <w:rsid w:val="7B420052"/>
    <w:rsid w:val="7BD06A28"/>
    <w:rsid w:val="7BE06A5E"/>
    <w:rsid w:val="7C3A7C0B"/>
    <w:rsid w:val="7C5248E4"/>
    <w:rsid w:val="7C566698"/>
    <w:rsid w:val="7C5866A3"/>
    <w:rsid w:val="7D7406BB"/>
    <w:rsid w:val="7DE94331"/>
    <w:rsid w:val="7F446A19"/>
    <w:rsid w:val="7F7452B9"/>
    <w:rsid w:val="F79E26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rPr>
      <w:rFonts w:hint="eastAsia" w:ascii="宋体" w:hAnsi="宋体" w:eastAsia="宋体" w:cs="Times New Roman"/>
      <w:sz w:val="24"/>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5"/>
    <w:qFormat/>
    <w:uiPriority w:val="0"/>
    <w:rPr>
      <w:sz w:val="18"/>
      <w:szCs w:val="18"/>
    </w:rPr>
  </w:style>
  <w:style w:type="paragraph" w:styleId="3">
    <w:name w:val="footer"/>
    <w:basedOn w:val="1"/>
    <w:qFormat/>
    <w:uiPriority w:val="0"/>
    <w:pPr>
      <w:tabs>
        <w:tab w:val="center" w:pos="4153"/>
        <w:tab w:val="right" w:pos="8306"/>
      </w:tabs>
      <w:snapToGrid w:val="0"/>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6">
    <w:name w:val="Normal (Web)"/>
    <w:basedOn w:val="1"/>
    <w:unhideWhenUsed/>
    <w:qFormat/>
    <w:uiPriority w:val="0"/>
    <w:pPr>
      <w:spacing w:before="100" w:beforeAutospacing="1" w:after="100" w:afterAutospacing="1"/>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qFormat/>
    <w:uiPriority w:val="0"/>
    <w:rPr>
      <w:b/>
    </w:rPr>
  </w:style>
  <w:style w:type="paragraph" w:customStyle="1" w:styleId="11">
    <w:name w:val="列出段落1"/>
    <w:basedOn w:val="1"/>
    <w:qFormat/>
    <w:uiPriority w:val="99"/>
    <w:pPr>
      <w:ind w:firstLine="420" w:firstLineChars="200"/>
    </w:pPr>
    <w:rPr>
      <w:rFonts w:hint="default"/>
    </w:rPr>
  </w:style>
  <w:style w:type="paragraph" w:customStyle="1" w:styleId="12">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3">
    <w:name w:val="21"/>
    <w:qFormat/>
    <w:uiPriority w:val="0"/>
    <w:rPr>
      <w:rFonts w:hint="default" w:ascii="Wingdings" w:hAnsi="Wingdings" w:cs="Wingdings"/>
      <w:b/>
      <w:bCs/>
    </w:rPr>
  </w:style>
  <w:style w:type="paragraph" w:customStyle="1" w:styleId="14">
    <w:name w:val="列出段落2"/>
    <w:qFormat/>
    <w:uiPriority w:val="99"/>
    <w:pPr>
      <w:ind w:firstLine="420" w:firstLineChars="200"/>
    </w:pPr>
    <w:rPr>
      <w:rFonts w:ascii="宋体" w:hAnsi="宋体" w:eastAsia="宋体" w:cs="Times New Roman"/>
      <w:sz w:val="24"/>
      <w:szCs w:val="24"/>
      <w:lang w:val="en-US" w:eastAsia="zh-CN" w:bidi="ar-SA"/>
    </w:rPr>
  </w:style>
  <w:style w:type="character" w:customStyle="1" w:styleId="15">
    <w:name w:val="批注框文本 字符"/>
    <w:basedOn w:val="9"/>
    <w:link w:val="2"/>
    <w:qFormat/>
    <w:uiPriority w:val="0"/>
    <w:rPr>
      <w:rFonts w:ascii="宋体" w:hAnsi="宋体"/>
      <w:sz w:val="18"/>
      <w:szCs w:val="18"/>
    </w:rPr>
  </w:style>
  <w:style w:type="paragraph" w:styleId="16">
    <w:name w:val="List Paragraph"/>
    <w:basedOn w:val="1"/>
    <w:qFormat/>
    <w:uiPriority w:val="34"/>
    <w:pPr>
      <w:widowControl w:val="0"/>
      <w:ind w:firstLine="420" w:firstLineChars="200"/>
      <w:jc w:val="both"/>
    </w:pPr>
    <w:rPr>
      <w:rFonts w:hint="default" w:ascii="Times New Roman" w:hAnsi="Times New Roman"/>
      <w:kern w:val="2"/>
      <w:sz w:val="21"/>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24</Pages>
  <Words>8504</Words>
  <Characters>11653</Characters>
  <Lines>193</Lines>
  <Paragraphs>54</Paragraphs>
  <TotalTime>5</TotalTime>
  <ScaleCrop>false</ScaleCrop>
  <LinksUpToDate>false</LinksUpToDate>
  <CharactersWithSpaces>13193</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2024-07-11T18:00:00Z</dcterms:created>
  <dc:creator>Administrator</dc:creator>
  <cp:lastModifiedBy>user</cp:lastModifiedBy>
  <dcterms:modified xsi:type="dcterms:W3CDTF">2025-11-06T16:34:26Z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0921ABDA0288461CB610A512C59DCDCF</vt:lpwstr>
  </property>
</Properties>
</file>