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576" w:lineRule="exact"/>
        <w:jc w:val="center"/>
        <w:textAlignment w:val="auto"/>
        <w:rPr>
          <w:rFonts w:hint="default" w:ascii="Times New Roman" w:hAnsi="Times New Roman" w:eastAsia="方正小标宋_GBK" w:cs="Times New Roman"/>
          <w:sz w:val="44"/>
          <w:szCs w:val="44"/>
          <w:shd w:val="clear" w:color="auto" w:fill="FFFFFF"/>
        </w:rPr>
      </w:pPr>
      <w:r>
        <w:rPr>
          <w:rFonts w:hint="default" w:ascii="Times New Roman" w:hAnsi="Times New Roman" w:eastAsia="方正小标宋_GBK" w:cs="Times New Roman"/>
          <w:sz w:val="44"/>
          <w:szCs w:val="44"/>
        </w:rPr>
        <w:t>重庆市涪陵区同乐镇人民政府</w:t>
      </w:r>
      <w:r>
        <w:rPr>
          <w:rFonts w:hint="default" w:ascii="Times New Roman" w:hAnsi="Times New Roman" w:eastAsia="方正小标宋_GBK" w:cs="Times New Roman"/>
          <w:sz w:val="44"/>
          <w:szCs w:val="44"/>
          <w:shd w:val="clear" w:color="auto" w:fill="FFFFFF"/>
        </w:rPr>
        <w:t>2025年度部门决算公开</w:t>
      </w:r>
    </w:p>
    <w:p>
      <w:pPr>
        <w:pStyle w:val="6"/>
        <w:spacing w:before="0" w:beforeAutospacing="0" w:after="0" w:afterAutospacing="0" w:line="596" w:lineRule="exact"/>
        <w:jc w:val="center"/>
        <w:rPr>
          <w:rFonts w:hint="default" w:ascii="方正小标宋_GBK" w:hAnsi="方正小标宋_GBK" w:eastAsia="方正小标宋_GBK" w:cs="方正小标宋_GBK"/>
          <w:sz w:val="36"/>
          <w:szCs w:val="36"/>
          <w:shd w:val="clear" w:color="auto" w:fill="FFFFFF"/>
        </w:rPr>
      </w:pPr>
    </w:p>
    <w:p>
      <w:pPr>
        <w:pStyle w:val="6"/>
        <w:shd w:val="clear" w:color="auto" w:fill="FFFFFF"/>
        <w:spacing w:before="0" w:beforeAutospacing="0" w:after="0" w:afterAutospacing="0" w:line="596" w:lineRule="exact"/>
        <w:ind w:firstLine="542" w:firstLineChars="150"/>
        <w:jc w:val="center"/>
        <w:rPr>
          <w:rStyle w:val="9"/>
          <w:rFonts w:ascii="方正小标宋_GBK" w:hAnsi="方正小标宋_GBK" w:eastAsia="方正小标宋_GBK" w:cs="方正小标宋_GBK"/>
          <w:sz w:val="36"/>
          <w:szCs w:val="36"/>
          <w:shd w:val="clear" w:color="auto" w:fill="FFFFFF"/>
        </w:rPr>
      </w:pPr>
      <w:r>
        <w:rPr>
          <w:rStyle w:val="9"/>
          <w:rFonts w:ascii="方正小标宋_GBK" w:hAnsi="方正小标宋_GBK" w:eastAsia="方正小标宋_GBK" w:cs="方正小标宋_GBK"/>
          <w:sz w:val="36"/>
          <w:szCs w:val="36"/>
          <w:shd w:val="clear" w:color="auto" w:fill="FFFFFF"/>
        </w:rPr>
        <w:t>第一部分   重庆市涪陵区同乐镇人民政府单位</w:t>
      </w:r>
    </w:p>
    <w:p>
      <w:pPr>
        <w:pStyle w:val="6"/>
        <w:shd w:val="clear" w:color="auto" w:fill="FFFFFF"/>
        <w:spacing w:before="0" w:beforeAutospacing="0" w:after="0" w:afterAutospacing="0" w:line="596" w:lineRule="exact"/>
        <w:ind w:firstLine="542" w:firstLineChars="150"/>
        <w:jc w:val="center"/>
        <w:rPr>
          <w:rStyle w:val="9"/>
          <w:rFonts w:hint="default" w:ascii="方正小标宋_GBK" w:hAnsi="方正小标宋_GBK" w:eastAsia="方正小标宋_GBK" w:cs="方正小标宋_GBK"/>
          <w:sz w:val="36"/>
          <w:szCs w:val="36"/>
          <w:shd w:val="clear" w:color="auto" w:fill="FFFFFF"/>
        </w:rPr>
      </w:pPr>
      <w:r>
        <w:rPr>
          <w:rStyle w:val="9"/>
          <w:rFonts w:ascii="方正小标宋_GBK" w:hAnsi="方正小标宋_GBK" w:eastAsia="方正小标宋_GBK" w:cs="方正小标宋_GBK"/>
          <w:sz w:val="36"/>
          <w:szCs w:val="36"/>
          <w:shd w:val="clear" w:color="auto" w:fill="FFFFFF"/>
        </w:rPr>
        <w:t>概况</w:t>
      </w:r>
    </w:p>
    <w:p>
      <w:pPr>
        <w:pStyle w:val="6"/>
        <w:shd w:val="clear" w:color="auto" w:fill="FFFFFF"/>
        <w:spacing w:before="0" w:beforeAutospacing="0" w:after="0" w:afterAutospacing="0" w:line="596" w:lineRule="exact"/>
        <w:ind w:firstLine="640" w:firstLineChars="200"/>
        <w:rPr>
          <w:rFonts w:hint="default" w:ascii="Times New Roman" w:hAnsi="Times New Roman" w:eastAsia="方正黑体_GBK" w:cs="Times New Roman"/>
          <w:bCs/>
          <w:sz w:val="32"/>
          <w:szCs w:val="32"/>
        </w:rPr>
      </w:pPr>
      <w:r>
        <w:rPr>
          <w:rStyle w:val="9"/>
          <w:rFonts w:hint="default" w:ascii="Times New Roman" w:hAnsi="Times New Roman" w:eastAsia="方正黑体_GBK" w:cs="Times New Roman"/>
          <w:b w:val="0"/>
          <w:bCs/>
          <w:sz w:val="32"/>
          <w:szCs w:val="32"/>
          <w:shd w:val="clear" w:color="auto" w:fill="FFFFFF"/>
        </w:rPr>
        <w:t>一、职能职责</w:t>
      </w:r>
    </w:p>
    <w:p>
      <w:pPr>
        <w:pStyle w:val="6"/>
        <w:snapToGrid w:val="0"/>
        <w:spacing w:before="0" w:beforeAutospacing="0" w:after="0" w:afterAutospacing="0" w:line="596" w:lineRule="exact"/>
        <w:ind w:firstLine="640" w:firstLineChars="200"/>
        <w:jc w:val="both"/>
        <w:rPr>
          <w:rFonts w:hint="default" w:ascii="Times New Roman" w:hAnsi="Times New Roman" w:eastAsia="方正仿宋_GBK" w:cs="Times New Roman"/>
          <w:sz w:val="32"/>
          <w:szCs w:val="32"/>
          <w:shd w:val="clear" w:color="auto" w:fill="FFFFFF"/>
        </w:rPr>
      </w:pPr>
      <w:r>
        <w:rPr>
          <w:rFonts w:hint="default" w:ascii="Times New Roman" w:hAnsi="Times New Roman" w:eastAsia="方正仿宋_GBK" w:cs="Times New Roman"/>
          <w:sz w:val="32"/>
          <w:szCs w:val="32"/>
          <w:shd w:val="clear" w:color="auto" w:fill="FFFFFF"/>
        </w:rPr>
        <w:t>1</w:t>
      </w:r>
      <w:r>
        <w:rPr>
          <w:rFonts w:hint="default" w:ascii="Times New Roman" w:hAnsi="Times New Roman" w:eastAsia="方正仿宋_GBK" w:cs="Times New Roman"/>
          <w:sz w:val="32"/>
          <w:szCs w:val="32"/>
          <w:shd w:val="clear" w:color="auto" w:fill="FFFFFF"/>
          <w:lang w:val="en"/>
        </w:rPr>
        <w:t xml:space="preserve">. </w:t>
      </w:r>
      <w:r>
        <w:rPr>
          <w:rFonts w:hint="default" w:ascii="Times New Roman" w:hAnsi="Times New Roman" w:eastAsia="方正仿宋_GBK" w:cs="Times New Roman"/>
          <w:sz w:val="32"/>
          <w:szCs w:val="32"/>
          <w:shd w:val="clear" w:color="auto" w:fill="FFFFFF"/>
        </w:rPr>
        <w:t>基层治理综合指挥室主要负责基层治理综合指挥日常管理</w:t>
      </w:r>
      <w:bookmarkStart w:id="0" w:name="_GoBack"/>
      <w:bookmarkEnd w:id="0"/>
      <w:r>
        <w:rPr>
          <w:rFonts w:hint="default" w:ascii="Times New Roman" w:hAnsi="Times New Roman" w:eastAsia="方正仿宋_GBK" w:cs="Times New Roman"/>
          <w:sz w:val="32"/>
          <w:szCs w:val="32"/>
          <w:shd w:val="clear" w:color="auto" w:fill="FFFFFF"/>
        </w:rPr>
        <w:t>协调工作，负责一体化治理智治平台日常运行监测、分析研判、协同流转、应急指挥、督查考核等职责。</w:t>
      </w:r>
    </w:p>
    <w:p>
      <w:pPr>
        <w:pStyle w:val="6"/>
        <w:snapToGrid w:val="0"/>
        <w:spacing w:before="0" w:beforeAutospacing="0" w:after="0" w:afterAutospacing="0" w:line="596" w:lineRule="exact"/>
        <w:ind w:firstLine="640" w:firstLineChars="200"/>
        <w:jc w:val="both"/>
        <w:rPr>
          <w:rFonts w:hint="default" w:ascii="Times New Roman" w:hAnsi="Times New Roman" w:eastAsia="方正仿宋_GBK" w:cs="Times New Roman"/>
          <w:sz w:val="32"/>
          <w:szCs w:val="32"/>
          <w:shd w:val="clear" w:color="auto" w:fill="FFFFFF"/>
        </w:rPr>
      </w:pPr>
      <w:r>
        <w:rPr>
          <w:rFonts w:hint="default" w:ascii="Times New Roman" w:hAnsi="Times New Roman" w:eastAsia="方正仿宋_GBK" w:cs="Times New Roman"/>
          <w:sz w:val="32"/>
          <w:szCs w:val="32"/>
          <w:shd w:val="clear" w:color="auto" w:fill="FFFFFF"/>
        </w:rPr>
        <w:t>2</w:t>
      </w:r>
      <w:r>
        <w:rPr>
          <w:rFonts w:hint="default" w:ascii="Times New Roman" w:hAnsi="Times New Roman" w:eastAsia="方正仿宋_GBK" w:cs="Times New Roman"/>
          <w:sz w:val="32"/>
          <w:szCs w:val="32"/>
          <w:shd w:val="clear" w:color="auto" w:fill="FFFFFF"/>
          <w:lang w:val="en"/>
        </w:rPr>
        <w:t xml:space="preserve">. </w:t>
      </w:r>
      <w:r>
        <w:rPr>
          <w:rFonts w:hint="default" w:ascii="Times New Roman" w:hAnsi="Times New Roman" w:eastAsia="方正仿宋_GBK" w:cs="Times New Roman"/>
          <w:sz w:val="32"/>
          <w:szCs w:val="32"/>
          <w:shd w:val="clear" w:color="auto" w:fill="FFFFFF"/>
        </w:rPr>
        <w:t>党的建设办公室主要负责党的政治建设、思想建设、组织建设、作风建设、几率建设、制度建设和反腐败斗争，以及民主法治、意识形态、统一战线、群众团体等领域的工作，加强党的全面领导，全面加强党的建设。落实全面从严治党要求。</w:t>
      </w:r>
    </w:p>
    <w:p>
      <w:pPr>
        <w:pStyle w:val="6"/>
        <w:snapToGrid w:val="0"/>
        <w:spacing w:before="0" w:beforeAutospacing="0" w:after="0" w:afterAutospacing="0" w:line="596" w:lineRule="exact"/>
        <w:ind w:firstLine="640" w:firstLineChars="200"/>
        <w:jc w:val="both"/>
        <w:rPr>
          <w:rFonts w:hint="default" w:ascii="Times New Roman" w:hAnsi="Times New Roman" w:eastAsia="方正仿宋_GBK" w:cs="Times New Roman"/>
          <w:sz w:val="32"/>
          <w:szCs w:val="32"/>
          <w:shd w:val="clear" w:color="auto" w:fill="FFFFFF"/>
        </w:rPr>
      </w:pPr>
      <w:r>
        <w:rPr>
          <w:rFonts w:hint="default" w:ascii="Times New Roman" w:hAnsi="Times New Roman" w:eastAsia="方正仿宋_GBK" w:cs="Times New Roman"/>
          <w:sz w:val="32"/>
          <w:szCs w:val="32"/>
          <w:shd w:val="clear" w:color="auto" w:fill="FFFFFF"/>
        </w:rPr>
        <w:t>3</w:t>
      </w:r>
      <w:r>
        <w:rPr>
          <w:rFonts w:hint="default" w:ascii="Times New Roman" w:hAnsi="Times New Roman" w:eastAsia="方正仿宋_GBK" w:cs="Times New Roman"/>
          <w:sz w:val="32"/>
          <w:szCs w:val="32"/>
          <w:shd w:val="clear" w:color="auto" w:fill="FFFFFF"/>
          <w:lang w:val="en"/>
        </w:rPr>
        <w:t xml:space="preserve">. </w:t>
      </w:r>
      <w:r>
        <w:rPr>
          <w:rFonts w:hint="default" w:ascii="Times New Roman" w:hAnsi="Times New Roman" w:eastAsia="方正仿宋_GBK" w:cs="Times New Roman"/>
          <w:sz w:val="32"/>
          <w:szCs w:val="32"/>
          <w:shd w:val="clear" w:color="auto" w:fill="FFFFFF"/>
        </w:rPr>
        <w:t>经济发展办公室主要负责经济发展、村镇建设、生态环境、农业农村和乡村振兴、财政管理、经济社会统计等领域的工作，制定和执行经济社会发展计划，强化产业引导，落实区域发展规划、专项规划、国土空间规划。</w:t>
      </w:r>
    </w:p>
    <w:p>
      <w:pPr>
        <w:pStyle w:val="6"/>
        <w:snapToGrid w:val="0"/>
        <w:spacing w:before="0" w:beforeAutospacing="0" w:after="0" w:afterAutospacing="0" w:line="596" w:lineRule="exact"/>
        <w:ind w:firstLine="640" w:firstLineChars="200"/>
        <w:jc w:val="both"/>
        <w:rPr>
          <w:rFonts w:hint="default" w:ascii="Times New Roman" w:hAnsi="Times New Roman" w:eastAsia="方正仿宋_GBK" w:cs="Times New Roman"/>
          <w:sz w:val="32"/>
          <w:szCs w:val="32"/>
          <w:shd w:val="clear" w:color="auto" w:fill="FFFFFF"/>
        </w:rPr>
      </w:pPr>
      <w:r>
        <w:rPr>
          <w:rFonts w:hint="default" w:ascii="Times New Roman" w:hAnsi="Times New Roman" w:eastAsia="方正仿宋_GBK" w:cs="Times New Roman"/>
          <w:sz w:val="32"/>
          <w:szCs w:val="32"/>
          <w:shd w:val="clear" w:color="auto" w:fill="FFFFFF"/>
        </w:rPr>
        <w:t>4</w:t>
      </w:r>
      <w:r>
        <w:rPr>
          <w:rFonts w:hint="default" w:ascii="Times New Roman" w:hAnsi="Times New Roman" w:eastAsia="方正仿宋_GBK" w:cs="Times New Roman"/>
          <w:sz w:val="32"/>
          <w:szCs w:val="32"/>
          <w:shd w:val="clear" w:color="auto" w:fill="FFFFFF"/>
          <w:lang w:val="en"/>
        </w:rPr>
        <w:t xml:space="preserve">. </w:t>
      </w:r>
      <w:r>
        <w:rPr>
          <w:rFonts w:hint="default" w:ascii="Times New Roman" w:hAnsi="Times New Roman" w:eastAsia="方正仿宋_GBK" w:cs="Times New Roman"/>
          <w:sz w:val="32"/>
          <w:szCs w:val="32"/>
          <w:shd w:val="clear" w:color="auto" w:fill="FFFFFF"/>
        </w:rPr>
        <w:t>民生服务办公室主要负责教育、文化、卫生健康、体育、劳动就业等领域的工作，推动社会事业发展，落实社会保险、社会救助、社会福利、优抚安置、扶贫济困等社会保障政策，优化基本公共服务资源配置，统筹公共服务设施空间布局，提供优质高效的便民服务。</w:t>
      </w:r>
    </w:p>
    <w:p>
      <w:pPr>
        <w:pStyle w:val="6"/>
        <w:snapToGrid w:val="0"/>
        <w:spacing w:before="0" w:beforeAutospacing="0" w:after="0" w:afterAutospacing="0" w:line="596" w:lineRule="exact"/>
        <w:ind w:firstLine="640" w:firstLineChars="200"/>
        <w:jc w:val="both"/>
        <w:rPr>
          <w:rFonts w:hint="default" w:ascii="Times New Roman" w:hAnsi="Times New Roman" w:eastAsia="方正仿宋_GBK" w:cs="Times New Roman"/>
          <w:sz w:val="32"/>
          <w:szCs w:val="32"/>
          <w:shd w:val="clear" w:color="auto" w:fill="FFFFFF"/>
        </w:rPr>
      </w:pPr>
      <w:r>
        <w:rPr>
          <w:rFonts w:hint="default" w:ascii="Times New Roman" w:hAnsi="Times New Roman" w:eastAsia="方正仿宋_GBK" w:cs="Times New Roman"/>
          <w:sz w:val="32"/>
          <w:szCs w:val="32"/>
          <w:shd w:val="clear" w:color="auto" w:fill="FFFFFF"/>
        </w:rPr>
        <w:t>5</w:t>
      </w:r>
      <w:r>
        <w:rPr>
          <w:rFonts w:hint="default" w:ascii="Times New Roman" w:hAnsi="Times New Roman" w:eastAsia="方正仿宋_GBK" w:cs="Times New Roman"/>
          <w:sz w:val="32"/>
          <w:szCs w:val="32"/>
          <w:shd w:val="clear" w:color="auto" w:fill="FFFFFF"/>
          <w:lang w:val="en"/>
        </w:rPr>
        <w:t xml:space="preserve">. </w:t>
      </w:r>
      <w:r>
        <w:rPr>
          <w:rFonts w:hint="default" w:ascii="Times New Roman" w:hAnsi="Times New Roman" w:eastAsia="方正仿宋_GBK" w:cs="Times New Roman"/>
          <w:sz w:val="32"/>
          <w:szCs w:val="32"/>
          <w:shd w:val="clear" w:color="auto" w:fill="FFFFFF"/>
        </w:rPr>
        <w:t>平安法治办公室主要负责平安综治、应急管理、综合执法、信访稳定、人民武装等领域的工作，健全应急管理和除险清患排查治理体系，完善执法协调、矛盾纠纷化解调处、公共法律服务、普法依法治理、网上网下联动化解网络舆情风险等机制，推动平安法治和社会治理工作落细落实。</w:t>
      </w:r>
    </w:p>
    <w:p>
      <w:pPr>
        <w:pStyle w:val="6"/>
        <w:shd w:val="clear" w:color="auto" w:fill="FFFFFF"/>
        <w:spacing w:before="0" w:beforeAutospacing="0" w:after="0" w:afterAutospacing="0" w:line="596" w:lineRule="exact"/>
        <w:ind w:firstLine="640" w:firstLineChars="200"/>
        <w:rPr>
          <w:rFonts w:hint="default" w:ascii="Times New Roman" w:hAnsi="Times New Roman" w:eastAsia="方正仿宋_GBK" w:cs="Times New Roman"/>
          <w:sz w:val="32"/>
          <w:szCs w:val="32"/>
          <w:shd w:val="clear" w:color="auto" w:fill="FFFFFF"/>
        </w:rPr>
      </w:pPr>
      <w:r>
        <w:rPr>
          <w:rFonts w:hint="default" w:ascii="Times New Roman" w:hAnsi="Times New Roman" w:eastAsia="方正仿宋_GBK" w:cs="Times New Roman"/>
          <w:sz w:val="32"/>
          <w:szCs w:val="32"/>
          <w:shd w:val="clear" w:color="auto" w:fill="FFFFFF"/>
        </w:rPr>
        <w:t>6</w:t>
      </w:r>
      <w:r>
        <w:rPr>
          <w:rFonts w:hint="default" w:ascii="Times New Roman" w:hAnsi="Times New Roman" w:eastAsia="方正仿宋_GBK" w:cs="Times New Roman"/>
          <w:sz w:val="32"/>
          <w:szCs w:val="32"/>
          <w:shd w:val="clear" w:color="auto" w:fill="FFFFFF"/>
          <w:lang w:val="en"/>
        </w:rPr>
        <w:t xml:space="preserve">. </w:t>
      </w:r>
      <w:r>
        <w:rPr>
          <w:rFonts w:hint="default" w:ascii="Times New Roman" w:hAnsi="Times New Roman" w:eastAsia="方正仿宋_GBK" w:cs="Times New Roman"/>
          <w:sz w:val="32"/>
          <w:szCs w:val="32"/>
          <w:shd w:val="clear" w:color="auto" w:fill="FFFFFF"/>
        </w:rPr>
        <w:t>各内设机构完成镇党委、政府交办的其他任务。</w:t>
      </w:r>
    </w:p>
    <w:p>
      <w:pPr>
        <w:pStyle w:val="6"/>
        <w:shd w:val="clear" w:color="auto" w:fill="FFFFFF"/>
        <w:spacing w:before="0" w:beforeAutospacing="0" w:after="0" w:afterAutospacing="0" w:line="596" w:lineRule="exact"/>
        <w:ind w:firstLine="640" w:firstLineChars="200"/>
        <w:rPr>
          <w:rFonts w:hint="default" w:ascii="Times New Roman" w:hAnsi="Times New Roman" w:eastAsia="方正仿宋_GBK" w:cs="Times New Roman"/>
          <w:sz w:val="32"/>
          <w:szCs w:val="32"/>
          <w:shd w:val="clear" w:color="auto" w:fill="FFFFFF"/>
        </w:rPr>
      </w:pPr>
      <w:r>
        <w:rPr>
          <w:rFonts w:hint="default" w:ascii="Times New Roman" w:hAnsi="Times New Roman" w:eastAsia="方正仿宋_GBK" w:cs="Times New Roman"/>
          <w:sz w:val="32"/>
          <w:szCs w:val="32"/>
          <w:shd w:val="clear" w:color="auto" w:fill="FFFFFF"/>
          <w:lang w:val="en"/>
        </w:rPr>
        <w:t xml:space="preserve">7. </w:t>
      </w:r>
      <w:r>
        <w:rPr>
          <w:rFonts w:hint="default" w:ascii="Times New Roman" w:hAnsi="Times New Roman" w:eastAsia="方正仿宋_GBK" w:cs="Times New Roman"/>
          <w:sz w:val="32"/>
          <w:szCs w:val="32"/>
          <w:shd w:val="clear" w:color="auto" w:fill="FFFFFF"/>
        </w:rPr>
        <w:t>重庆市涪陵区同乐镇村居事务中心承担村居事务相关服务工作；完成镇党委、政府交办的其他任务。</w:t>
      </w:r>
    </w:p>
    <w:p>
      <w:pPr>
        <w:pStyle w:val="6"/>
        <w:snapToGrid w:val="0"/>
        <w:spacing w:before="0" w:beforeAutospacing="0" w:after="0" w:afterAutospacing="0" w:line="596" w:lineRule="exact"/>
        <w:ind w:firstLine="640" w:firstLineChars="200"/>
        <w:jc w:val="both"/>
        <w:rPr>
          <w:rFonts w:hint="default" w:ascii="Times New Roman" w:hAnsi="Times New Roman" w:eastAsia="方正仿宋_GBK" w:cs="Times New Roman"/>
          <w:sz w:val="32"/>
          <w:szCs w:val="32"/>
          <w:shd w:val="clear" w:color="auto" w:fill="FFFFFF"/>
        </w:rPr>
      </w:pPr>
      <w:r>
        <w:rPr>
          <w:rFonts w:hint="default" w:ascii="Times New Roman" w:hAnsi="Times New Roman" w:eastAsia="方正仿宋_GBK" w:cs="Times New Roman"/>
          <w:sz w:val="32"/>
          <w:szCs w:val="32"/>
          <w:shd w:val="clear" w:color="auto" w:fill="FFFFFF"/>
        </w:rPr>
        <w:t>8</w:t>
      </w:r>
      <w:r>
        <w:rPr>
          <w:rFonts w:hint="default" w:ascii="Times New Roman" w:hAnsi="Times New Roman" w:eastAsia="方正仿宋_GBK" w:cs="Times New Roman"/>
          <w:sz w:val="32"/>
          <w:szCs w:val="32"/>
          <w:shd w:val="clear" w:color="auto" w:fill="FFFFFF"/>
          <w:lang w:val="en"/>
        </w:rPr>
        <w:t xml:space="preserve">. </w:t>
      </w:r>
      <w:r>
        <w:rPr>
          <w:rFonts w:hint="default" w:ascii="Times New Roman" w:hAnsi="Times New Roman" w:eastAsia="方正仿宋_GBK" w:cs="Times New Roman"/>
          <w:sz w:val="32"/>
          <w:szCs w:val="32"/>
          <w:shd w:val="clear" w:color="auto" w:fill="FFFFFF"/>
        </w:rPr>
        <w:t>重庆市涪陵区同乐镇新时代文明实践服务中心承担新时代文明实践相关服务工作；完成镇党委、政府交办的其他任务。</w:t>
      </w:r>
    </w:p>
    <w:p>
      <w:pPr>
        <w:pStyle w:val="6"/>
        <w:snapToGrid w:val="0"/>
        <w:spacing w:before="0" w:beforeAutospacing="0" w:after="0" w:afterAutospacing="0" w:line="596" w:lineRule="exact"/>
        <w:ind w:firstLine="640" w:firstLineChars="200"/>
        <w:jc w:val="both"/>
        <w:rPr>
          <w:rFonts w:hint="default" w:ascii="Times New Roman" w:hAnsi="Times New Roman" w:eastAsia="方正仿宋_GBK" w:cs="Times New Roman"/>
          <w:sz w:val="32"/>
          <w:szCs w:val="32"/>
          <w:shd w:val="clear" w:color="auto" w:fill="FFFFFF"/>
        </w:rPr>
      </w:pPr>
      <w:r>
        <w:rPr>
          <w:rFonts w:hint="default" w:ascii="Times New Roman" w:hAnsi="Times New Roman" w:eastAsia="方正仿宋_GBK" w:cs="Times New Roman"/>
          <w:sz w:val="32"/>
          <w:szCs w:val="32"/>
          <w:shd w:val="clear" w:color="auto" w:fill="FFFFFF"/>
        </w:rPr>
        <w:t>9</w:t>
      </w:r>
      <w:r>
        <w:rPr>
          <w:rFonts w:hint="default" w:ascii="Times New Roman" w:hAnsi="Times New Roman" w:eastAsia="方正仿宋_GBK" w:cs="Times New Roman"/>
          <w:sz w:val="32"/>
          <w:szCs w:val="32"/>
          <w:shd w:val="clear" w:color="auto" w:fill="FFFFFF"/>
          <w:lang w:val="en"/>
        </w:rPr>
        <w:t xml:space="preserve">. </w:t>
      </w:r>
      <w:r>
        <w:rPr>
          <w:rFonts w:hint="default" w:ascii="Times New Roman" w:hAnsi="Times New Roman" w:eastAsia="方正仿宋_GBK" w:cs="Times New Roman"/>
          <w:sz w:val="32"/>
          <w:szCs w:val="32"/>
          <w:shd w:val="clear" w:color="auto" w:fill="FFFFFF"/>
        </w:rPr>
        <w:t>重庆市涪陵区同乐镇便民服务中心（重庆市涪陵区同乐镇退役军人服务站）承担便民服务、退役军人服务相关工作；完成镇党委、政府交办的其他任务。</w:t>
      </w:r>
    </w:p>
    <w:p>
      <w:pPr>
        <w:pStyle w:val="6"/>
        <w:snapToGrid w:val="0"/>
        <w:spacing w:before="0" w:beforeAutospacing="0" w:after="0" w:afterAutospacing="0" w:line="596" w:lineRule="exact"/>
        <w:ind w:firstLine="640" w:firstLineChars="200"/>
        <w:jc w:val="both"/>
        <w:rPr>
          <w:rFonts w:hint="default" w:ascii="Times New Roman" w:hAnsi="Times New Roman" w:eastAsia="方正仿宋_GBK" w:cs="Times New Roman"/>
          <w:sz w:val="32"/>
          <w:szCs w:val="32"/>
          <w:shd w:val="clear" w:color="auto" w:fill="FFFFFF"/>
        </w:rPr>
      </w:pPr>
      <w:r>
        <w:rPr>
          <w:rFonts w:hint="default" w:ascii="Times New Roman" w:hAnsi="Times New Roman" w:eastAsia="方正仿宋_GBK" w:cs="Times New Roman"/>
          <w:sz w:val="32"/>
          <w:szCs w:val="32"/>
          <w:shd w:val="clear" w:color="auto" w:fill="FFFFFF"/>
        </w:rPr>
        <w:t>10</w:t>
      </w:r>
      <w:r>
        <w:rPr>
          <w:rFonts w:hint="default" w:ascii="Times New Roman" w:hAnsi="Times New Roman" w:eastAsia="方正仿宋_GBK" w:cs="Times New Roman"/>
          <w:sz w:val="32"/>
          <w:szCs w:val="32"/>
          <w:shd w:val="clear" w:color="auto" w:fill="FFFFFF"/>
          <w:lang w:val="en"/>
        </w:rPr>
        <w:t xml:space="preserve">. </w:t>
      </w:r>
      <w:r>
        <w:rPr>
          <w:rFonts w:hint="default" w:ascii="Times New Roman" w:hAnsi="Times New Roman" w:eastAsia="方正仿宋_GBK" w:cs="Times New Roman"/>
          <w:sz w:val="32"/>
          <w:szCs w:val="32"/>
          <w:shd w:val="clear" w:color="auto" w:fill="FFFFFF"/>
        </w:rPr>
        <w:t>重庆市涪陵区同乐镇综合行政执法大队承担执法方面相关工作；完成镇党委、政府交办的其他任务。</w:t>
      </w:r>
    </w:p>
    <w:p>
      <w:pPr>
        <w:pStyle w:val="6"/>
        <w:snapToGrid w:val="0"/>
        <w:spacing w:before="0" w:beforeAutospacing="0" w:after="0" w:afterAutospacing="0" w:line="596" w:lineRule="exact"/>
        <w:ind w:firstLine="640" w:firstLineChars="200"/>
        <w:jc w:val="both"/>
        <w:rPr>
          <w:rFonts w:hint="default" w:ascii="Times New Roman" w:hAnsi="Times New Roman" w:eastAsia="方正仿宋_GBK" w:cs="Times New Roman"/>
          <w:sz w:val="32"/>
          <w:szCs w:val="32"/>
          <w:shd w:val="clear" w:color="auto" w:fill="FFFFFF"/>
        </w:rPr>
      </w:pPr>
      <w:r>
        <w:rPr>
          <w:rFonts w:hint="default" w:ascii="Times New Roman" w:hAnsi="Times New Roman" w:eastAsia="方正仿宋_GBK" w:cs="Times New Roman"/>
          <w:sz w:val="32"/>
          <w:szCs w:val="32"/>
          <w:shd w:val="clear" w:color="auto" w:fill="FFFFFF"/>
        </w:rPr>
        <w:t>11</w:t>
      </w:r>
      <w:r>
        <w:rPr>
          <w:rFonts w:hint="default" w:ascii="Times New Roman" w:hAnsi="Times New Roman" w:eastAsia="方正仿宋_GBK" w:cs="Times New Roman"/>
          <w:sz w:val="32"/>
          <w:szCs w:val="32"/>
          <w:shd w:val="clear" w:color="auto" w:fill="FFFFFF"/>
          <w:lang w:val="en"/>
        </w:rPr>
        <w:t xml:space="preserve">. </w:t>
      </w:r>
      <w:r>
        <w:rPr>
          <w:rFonts w:hint="default" w:ascii="Times New Roman" w:hAnsi="Times New Roman" w:eastAsia="方正仿宋_GBK" w:cs="Times New Roman"/>
          <w:sz w:val="32"/>
          <w:szCs w:val="32"/>
          <w:shd w:val="clear" w:color="auto" w:fill="FFFFFF"/>
        </w:rPr>
        <w:t>重庆市涪陵区同乐镇产业发展服务中心承担产业发展相关服务工作；完成镇党委、政府交办的其他任务。</w:t>
      </w:r>
    </w:p>
    <w:p>
      <w:pPr>
        <w:pStyle w:val="6"/>
        <w:shd w:val="clear" w:color="auto" w:fill="FFFFFF"/>
        <w:spacing w:before="0" w:beforeAutospacing="0" w:after="0" w:afterAutospacing="0" w:line="596" w:lineRule="exact"/>
        <w:ind w:firstLine="640" w:firstLineChars="200"/>
        <w:rPr>
          <w:rStyle w:val="9"/>
          <w:rFonts w:hint="default" w:ascii="Times New Roman" w:hAnsi="Times New Roman" w:eastAsia="方正黑体_GBK" w:cs="Times New Roman"/>
          <w:b w:val="0"/>
          <w:bCs/>
          <w:sz w:val="32"/>
          <w:szCs w:val="32"/>
          <w:shd w:val="clear" w:color="auto" w:fill="FFFFFF"/>
        </w:rPr>
      </w:pPr>
      <w:r>
        <w:rPr>
          <w:rStyle w:val="9"/>
          <w:rFonts w:hint="default" w:ascii="Times New Roman" w:hAnsi="Times New Roman" w:eastAsia="方正黑体_GBK" w:cs="Times New Roman"/>
          <w:b w:val="0"/>
          <w:bCs/>
          <w:sz w:val="32"/>
          <w:szCs w:val="32"/>
          <w:shd w:val="clear" w:color="auto" w:fill="FFFFFF"/>
        </w:rPr>
        <w:t>二、机构设置</w:t>
      </w:r>
    </w:p>
    <w:p>
      <w:pPr>
        <w:pStyle w:val="6"/>
        <w:shd w:val="clear" w:color="auto" w:fill="FFFFFF"/>
        <w:spacing w:before="0" w:beforeAutospacing="0" w:after="0" w:afterAutospacing="0" w:line="596" w:lineRule="exact"/>
        <w:ind w:firstLine="640" w:firstLineChars="200"/>
        <w:jc w:val="both"/>
        <w:rPr>
          <w:rFonts w:hint="default" w:ascii="Times New Roman" w:hAnsi="Times New Roman" w:eastAsia="方正仿宋_GBK" w:cs="Times New Roman"/>
          <w:sz w:val="32"/>
          <w:szCs w:val="32"/>
          <w:shd w:val="clear" w:color="auto" w:fill="FFFFFF"/>
        </w:rPr>
      </w:pPr>
      <w:r>
        <w:rPr>
          <w:rFonts w:hint="default" w:ascii="Times New Roman" w:hAnsi="Times New Roman" w:eastAsia="方正仿宋_GBK" w:cs="Times New Roman"/>
          <w:sz w:val="32"/>
          <w:szCs w:val="32"/>
          <w:shd w:val="clear" w:color="auto" w:fill="FFFFFF"/>
        </w:rPr>
        <w:t>1</w:t>
      </w:r>
      <w:r>
        <w:rPr>
          <w:rFonts w:hint="default" w:ascii="Times New Roman" w:hAnsi="Times New Roman" w:eastAsia="方正仿宋_GBK" w:cs="Times New Roman"/>
          <w:sz w:val="32"/>
          <w:szCs w:val="32"/>
          <w:shd w:val="clear" w:color="auto" w:fill="FFFFFF"/>
          <w:lang w:val="en"/>
        </w:rPr>
        <w:t xml:space="preserve">. </w:t>
      </w:r>
      <w:r>
        <w:rPr>
          <w:rFonts w:hint="default" w:ascii="Times New Roman" w:hAnsi="Times New Roman" w:eastAsia="方正仿宋_GBK" w:cs="Times New Roman"/>
          <w:sz w:val="32"/>
          <w:szCs w:val="32"/>
          <w:shd w:val="clear" w:color="auto" w:fill="FFFFFF"/>
        </w:rPr>
        <w:t>设立基层治理综合指挥室、党的建设办公室、经济发展办公室、民生服务办公室、平安法治办公室。以上机构均为正科级。</w:t>
      </w:r>
    </w:p>
    <w:p>
      <w:pPr>
        <w:pStyle w:val="6"/>
        <w:shd w:val="clear" w:color="auto" w:fill="FFFFFF"/>
        <w:spacing w:before="0" w:beforeAutospacing="0" w:after="0" w:afterAutospacing="0" w:line="596" w:lineRule="exact"/>
        <w:ind w:firstLine="640" w:firstLineChars="200"/>
        <w:jc w:val="both"/>
        <w:rPr>
          <w:rFonts w:hint="default" w:ascii="Times New Roman" w:hAnsi="Times New Roman" w:eastAsia="方正仿宋_GBK" w:cs="Times New Roman"/>
          <w:sz w:val="32"/>
          <w:szCs w:val="32"/>
          <w:shd w:val="clear" w:color="auto" w:fill="FFFFFF"/>
        </w:rPr>
      </w:pPr>
      <w:r>
        <w:rPr>
          <w:rFonts w:hint="default" w:ascii="Times New Roman" w:hAnsi="Times New Roman" w:eastAsia="方正仿宋_GBK" w:cs="Times New Roman"/>
          <w:sz w:val="32"/>
          <w:szCs w:val="32"/>
          <w:shd w:val="clear" w:color="auto" w:fill="FFFFFF"/>
          <w:lang w:val="en"/>
        </w:rPr>
        <w:t xml:space="preserve">2. </w:t>
      </w:r>
      <w:r>
        <w:rPr>
          <w:rFonts w:hint="default" w:ascii="Times New Roman" w:hAnsi="Times New Roman" w:eastAsia="方正仿宋_GBK" w:cs="Times New Roman"/>
          <w:sz w:val="32"/>
          <w:szCs w:val="32"/>
          <w:shd w:val="clear" w:color="auto" w:fill="FFFFFF"/>
        </w:rPr>
        <w:t>重庆市涪陵区同乐镇村居事务服务中心事业编制16名，科级领导职数</w:t>
      </w:r>
      <w:r>
        <w:rPr>
          <w:rFonts w:hint="default" w:ascii="Times New Roman" w:hAnsi="Times New Roman" w:eastAsia="方正仿宋_GBK" w:cs="Times New Roman"/>
          <w:sz w:val="32"/>
          <w:szCs w:val="32"/>
          <w:shd w:val="clear" w:color="auto" w:fill="FFFFFF"/>
          <w:lang w:val="en"/>
        </w:rPr>
        <w:t>3</w:t>
      </w:r>
      <w:r>
        <w:rPr>
          <w:rFonts w:hint="default" w:ascii="Times New Roman" w:hAnsi="Times New Roman" w:eastAsia="方正仿宋_GBK" w:cs="Times New Roman"/>
          <w:sz w:val="32"/>
          <w:szCs w:val="32"/>
          <w:shd w:val="clear" w:color="auto" w:fill="FFFFFF"/>
        </w:rPr>
        <w:t>名。</w:t>
      </w:r>
    </w:p>
    <w:p>
      <w:pPr>
        <w:pStyle w:val="6"/>
        <w:shd w:val="clear" w:color="auto" w:fill="FFFFFF"/>
        <w:spacing w:before="0" w:beforeAutospacing="0" w:after="0" w:afterAutospacing="0" w:line="596" w:lineRule="exact"/>
        <w:ind w:firstLine="640" w:firstLineChars="200"/>
        <w:jc w:val="both"/>
        <w:rPr>
          <w:rFonts w:hint="default" w:ascii="Times New Roman" w:hAnsi="Times New Roman" w:eastAsia="方正仿宋_GBK" w:cs="Times New Roman"/>
          <w:sz w:val="32"/>
          <w:szCs w:val="32"/>
          <w:shd w:val="clear" w:color="auto" w:fill="FFFFFF"/>
        </w:rPr>
      </w:pPr>
      <w:r>
        <w:rPr>
          <w:rFonts w:hint="default" w:ascii="Times New Roman" w:hAnsi="Times New Roman" w:eastAsia="方正仿宋_GBK" w:cs="Times New Roman"/>
          <w:sz w:val="32"/>
          <w:szCs w:val="32"/>
          <w:shd w:val="clear" w:color="auto" w:fill="FFFFFF"/>
          <w:lang w:val="en"/>
        </w:rPr>
        <w:t xml:space="preserve">3. </w:t>
      </w:r>
      <w:r>
        <w:rPr>
          <w:rFonts w:hint="default" w:ascii="Times New Roman" w:hAnsi="Times New Roman" w:eastAsia="方正仿宋_GBK" w:cs="Times New Roman"/>
          <w:sz w:val="32"/>
          <w:szCs w:val="32"/>
          <w:shd w:val="clear" w:color="auto" w:fill="FFFFFF"/>
        </w:rPr>
        <w:t>重庆市涪陵区同乐镇新时代文明实践服务中心事业编制</w:t>
      </w:r>
      <w:r>
        <w:rPr>
          <w:rFonts w:hint="default" w:ascii="Times New Roman" w:hAnsi="Times New Roman" w:eastAsia="方正仿宋_GBK" w:cs="Times New Roman"/>
          <w:sz w:val="32"/>
          <w:szCs w:val="32"/>
          <w:shd w:val="clear" w:color="auto" w:fill="FFFFFF"/>
          <w:lang w:val="en"/>
        </w:rPr>
        <w:t>9</w:t>
      </w:r>
      <w:r>
        <w:rPr>
          <w:rFonts w:hint="default" w:ascii="Times New Roman" w:hAnsi="Times New Roman" w:eastAsia="方正仿宋_GBK" w:cs="Times New Roman"/>
          <w:sz w:val="32"/>
          <w:szCs w:val="32"/>
          <w:shd w:val="clear" w:color="auto" w:fill="FFFFFF"/>
        </w:rPr>
        <w:t>名，科级领导职数</w:t>
      </w:r>
      <w:r>
        <w:rPr>
          <w:rFonts w:hint="default" w:ascii="Times New Roman" w:hAnsi="Times New Roman" w:eastAsia="方正仿宋_GBK" w:cs="Times New Roman"/>
          <w:sz w:val="32"/>
          <w:szCs w:val="32"/>
          <w:shd w:val="clear" w:color="auto" w:fill="FFFFFF"/>
          <w:lang w:val="en"/>
        </w:rPr>
        <w:t>2</w:t>
      </w:r>
      <w:r>
        <w:rPr>
          <w:rFonts w:hint="default" w:ascii="Times New Roman" w:hAnsi="Times New Roman" w:eastAsia="方正仿宋_GBK" w:cs="Times New Roman"/>
          <w:sz w:val="32"/>
          <w:szCs w:val="32"/>
          <w:shd w:val="clear" w:color="auto" w:fill="FFFFFF"/>
        </w:rPr>
        <w:t>名。</w:t>
      </w:r>
    </w:p>
    <w:p>
      <w:pPr>
        <w:pStyle w:val="6"/>
        <w:shd w:val="clear" w:color="auto" w:fill="FFFFFF"/>
        <w:spacing w:before="0" w:beforeAutospacing="0" w:after="0" w:afterAutospacing="0" w:line="596" w:lineRule="exact"/>
        <w:ind w:firstLine="640" w:firstLineChars="200"/>
        <w:jc w:val="both"/>
        <w:rPr>
          <w:rFonts w:hint="default" w:ascii="Times New Roman" w:hAnsi="Times New Roman" w:eastAsia="方正仿宋_GBK" w:cs="Times New Roman"/>
          <w:sz w:val="32"/>
          <w:szCs w:val="32"/>
          <w:shd w:val="clear" w:color="auto" w:fill="FFFFFF"/>
        </w:rPr>
      </w:pPr>
      <w:r>
        <w:rPr>
          <w:rFonts w:hint="default" w:ascii="Times New Roman" w:hAnsi="Times New Roman" w:eastAsia="方正仿宋_GBK" w:cs="Times New Roman"/>
          <w:sz w:val="32"/>
          <w:szCs w:val="32"/>
          <w:shd w:val="clear" w:color="auto" w:fill="FFFFFF"/>
          <w:lang w:val="en"/>
        </w:rPr>
        <w:t xml:space="preserve">4. </w:t>
      </w:r>
      <w:r>
        <w:rPr>
          <w:rFonts w:hint="default" w:ascii="Times New Roman" w:hAnsi="Times New Roman" w:eastAsia="方正仿宋_GBK" w:cs="Times New Roman"/>
          <w:sz w:val="32"/>
          <w:szCs w:val="32"/>
          <w:shd w:val="clear" w:color="auto" w:fill="FFFFFF"/>
        </w:rPr>
        <w:t>重庆市涪陵区同乐镇便民服务中心（重庆市涪陵区同乐镇退役军人服务站）事业编制</w:t>
      </w:r>
      <w:r>
        <w:rPr>
          <w:rFonts w:hint="default" w:ascii="Times New Roman" w:hAnsi="Times New Roman" w:eastAsia="方正仿宋_GBK" w:cs="Times New Roman"/>
          <w:sz w:val="32"/>
          <w:szCs w:val="32"/>
          <w:shd w:val="clear" w:color="auto" w:fill="FFFFFF"/>
          <w:lang w:val="en"/>
        </w:rPr>
        <w:t>9</w:t>
      </w:r>
      <w:r>
        <w:rPr>
          <w:rFonts w:hint="default" w:ascii="Times New Roman" w:hAnsi="Times New Roman" w:eastAsia="方正仿宋_GBK" w:cs="Times New Roman"/>
          <w:sz w:val="32"/>
          <w:szCs w:val="32"/>
          <w:shd w:val="clear" w:color="auto" w:fill="FFFFFF"/>
        </w:rPr>
        <w:t>名，科级领导职数</w:t>
      </w:r>
      <w:r>
        <w:rPr>
          <w:rFonts w:hint="default" w:ascii="Times New Roman" w:hAnsi="Times New Roman" w:eastAsia="方正仿宋_GBK" w:cs="Times New Roman"/>
          <w:sz w:val="32"/>
          <w:szCs w:val="32"/>
          <w:shd w:val="clear" w:color="auto" w:fill="FFFFFF"/>
          <w:lang w:val="en"/>
        </w:rPr>
        <w:t>2</w:t>
      </w:r>
      <w:r>
        <w:rPr>
          <w:rFonts w:hint="default" w:ascii="Times New Roman" w:hAnsi="Times New Roman" w:eastAsia="方正仿宋_GBK" w:cs="Times New Roman"/>
          <w:sz w:val="32"/>
          <w:szCs w:val="32"/>
          <w:shd w:val="clear" w:color="auto" w:fill="FFFFFF"/>
        </w:rPr>
        <w:t>名</w:t>
      </w:r>
    </w:p>
    <w:p>
      <w:pPr>
        <w:pStyle w:val="6"/>
        <w:shd w:val="clear" w:color="auto" w:fill="FFFFFF"/>
        <w:spacing w:before="0" w:beforeAutospacing="0" w:after="0" w:afterAutospacing="0" w:line="596" w:lineRule="exact"/>
        <w:ind w:firstLine="640" w:firstLineChars="200"/>
        <w:jc w:val="both"/>
        <w:rPr>
          <w:rFonts w:hint="default" w:ascii="Times New Roman" w:hAnsi="Times New Roman" w:eastAsia="方正仿宋_GBK" w:cs="Times New Roman"/>
          <w:sz w:val="32"/>
          <w:szCs w:val="32"/>
          <w:shd w:val="clear" w:color="auto" w:fill="FFFFFF"/>
        </w:rPr>
      </w:pPr>
      <w:r>
        <w:rPr>
          <w:rFonts w:hint="default" w:ascii="Times New Roman" w:hAnsi="Times New Roman" w:eastAsia="方正仿宋_GBK" w:cs="Times New Roman"/>
          <w:sz w:val="32"/>
          <w:szCs w:val="32"/>
          <w:shd w:val="clear" w:color="auto" w:fill="FFFFFF"/>
          <w:lang w:val="en"/>
        </w:rPr>
        <w:t xml:space="preserve">5. </w:t>
      </w:r>
      <w:r>
        <w:rPr>
          <w:rFonts w:hint="default" w:ascii="Times New Roman" w:hAnsi="Times New Roman" w:eastAsia="方正仿宋_GBK" w:cs="Times New Roman"/>
          <w:sz w:val="32"/>
          <w:szCs w:val="32"/>
          <w:shd w:val="clear" w:color="auto" w:fill="FFFFFF"/>
        </w:rPr>
        <w:t>重庆市涪陵区同乐镇综合行政执法大队事业编制12名，科技领导职数</w:t>
      </w:r>
      <w:r>
        <w:rPr>
          <w:rFonts w:hint="default" w:ascii="Times New Roman" w:hAnsi="Times New Roman" w:eastAsia="方正仿宋_GBK" w:cs="Times New Roman"/>
          <w:sz w:val="32"/>
          <w:szCs w:val="32"/>
          <w:shd w:val="clear" w:color="auto" w:fill="FFFFFF"/>
          <w:lang w:val="en"/>
        </w:rPr>
        <w:t>2</w:t>
      </w:r>
      <w:r>
        <w:rPr>
          <w:rFonts w:hint="default" w:ascii="Times New Roman" w:hAnsi="Times New Roman" w:eastAsia="方正仿宋_GBK" w:cs="Times New Roman"/>
          <w:sz w:val="32"/>
          <w:szCs w:val="32"/>
          <w:shd w:val="clear" w:color="auto" w:fill="FFFFFF"/>
        </w:rPr>
        <w:t>名。</w:t>
      </w:r>
    </w:p>
    <w:p>
      <w:pPr>
        <w:pStyle w:val="6"/>
        <w:shd w:val="clear" w:color="auto" w:fill="FFFFFF"/>
        <w:spacing w:before="0" w:beforeAutospacing="0" w:after="0" w:afterAutospacing="0" w:line="596" w:lineRule="exact"/>
        <w:ind w:firstLine="640" w:firstLineChars="200"/>
        <w:jc w:val="both"/>
        <w:rPr>
          <w:rFonts w:hint="default" w:ascii="Times New Roman" w:hAnsi="Times New Roman" w:eastAsia="方正仿宋_GBK" w:cs="Times New Roman"/>
          <w:sz w:val="32"/>
          <w:szCs w:val="32"/>
          <w:shd w:val="clear" w:color="auto" w:fill="FFFFFF"/>
        </w:rPr>
      </w:pPr>
      <w:r>
        <w:rPr>
          <w:rFonts w:hint="default" w:ascii="Times New Roman" w:hAnsi="Times New Roman" w:eastAsia="方正仿宋_GBK" w:cs="Times New Roman"/>
          <w:sz w:val="32"/>
          <w:szCs w:val="32"/>
          <w:shd w:val="clear" w:color="auto" w:fill="FFFFFF"/>
          <w:lang w:val="en"/>
        </w:rPr>
        <w:t xml:space="preserve">6. </w:t>
      </w:r>
      <w:r>
        <w:rPr>
          <w:rFonts w:hint="default" w:ascii="Times New Roman" w:hAnsi="Times New Roman" w:eastAsia="方正仿宋_GBK" w:cs="Times New Roman"/>
          <w:sz w:val="32"/>
          <w:szCs w:val="32"/>
          <w:shd w:val="clear" w:color="auto" w:fill="FFFFFF"/>
        </w:rPr>
        <w:t>重庆市涪陵区同乐镇产业发展服务中心事业编制23名，科技领导职数</w:t>
      </w:r>
      <w:r>
        <w:rPr>
          <w:rFonts w:hint="default" w:ascii="Times New Roman" w:hAnsi="Times New Roman" w:eastAsia="方正仿宋_GBK" w:cs="Times New Roman"/>
          <w:sz w:val="32"/>
          <w:szCs w:val="32"/>
          <w:shd w:val="clear" w:color="auto" w:fill="FFFFFF"/>
          <w:lang w:val="en"/>
        </w:rPr>
        <w:t>3</w:t>
      </w:r>
      <w:r>
        <w:rPr>
          <w:rFonts w:hint="default" w:ascii="Times New Roman" w:hAnsi="Times New Roman" w:eastAsia="方正仿宋_GBK" w:cs="Times New Roman"/>
          <w:sz w:val="32"/>
          <w:szCs w:val="32"/>
          <w:shd w:val="clear" w:color="auto" w:fill="FFFFFF"/>
        </w:rPr>
        <w:t>名。</w:t>
      </w:r>
    </w:p>
    <w:p>
      <w:pPr>
        <w:pStyle w:val="6"/>
        <w:shd w:val="clear" w:color="auto" w:fill="FFFFFF"/>
        <w:spacing w:before="0" w:beforeAutospacing="0" w:after="0" w:afterAutospacing="0" w:line="596" w:lineRule="exact"/>
        <w:jc w:val="center"/>
        <w:rPr>
          <w:rFonts w:hint="default" w:ascii="Times New Roman" w:hAnsi="Times New Roman" w:eastAsia="方正仿宋_GBK" w:cs="Times New Roman"/>
          <w:color w:val="FF0000"/>
          <w:sz w:val="32"/>
          <w:szCs w:val="32"/>
          <w:shd w:val="clear" w:color="auto" w:fill="FFFFFF"/>
        </w:rPr>
      </w:pPr>
      <w:r>
        <w:rPr>
          <w:rStyle w:val="9"/>
          <w:rFonts w:hint="default" w:ascii="Times New Roman" w:hAnsi="Times New Roman" w:eastAsia="方正小标宋_GBK" w:cs="Times New Roman"/>
          <w:sz w:val="36"/>
          <w:szCs w:val="36"/>
          <w:shd w:val="clear" w:color="auto" w:fill="FFFFFF"/>
        </w:rPr>
        <w:t>第二部分 重庆市涪陵区同乐镇人民政府2025年度部门决算表</w:t>
      </w:r>
    </w:p>
    <w:p>
      <w:pPr>
        <w:pStyle w:val="6"/>
        <w:shd w:val="clear" w:color="auto" w:fill="FFFFFF"/>
        <w:spacing w:before="0" w:beforeAutospacing="0" w:after="0" w:afterAutospacing="0" w:line="596" w:lineRule="exact"/>
        <w:jc w:val="both"/>
        <w:rPr>
          <w:rStyle w:val="9"/>
          <w:rFonts w:hint="default" w:ascii="Times New Roman" w:hAnsi="Times New Roman" w:eastAsia="方正小标宋_GBK" w:cs="Times New Roman"/>
          <w:color w:val="4874CB" w:themeColor="accent1"/>
          <w:sz w:val="32"/>
          <w:szCs w:val="32"/>
          <w:shd w:val="clear" w:color="auto" w:fill="FFFFFF"/>
        </w:rPr>
      </w:pPr>
    </w:p>
    <w:p>
      <w:pPr>
        <w:pStyle w:val="6"/>
        <w:shd w:val="clear" w:color="auto" w:fill="FFFFFF"/>
        <w:spacing w:before="0" w:beforeAutospacing="0" w:after="0" w:afterAutospacing="0" w:line="596" w:lineRule="exact"/>
        <w:ind w:firstLine="642" w:firstLineChars="200"/>
        <w:rPr>
          <w:rStyle w:val="9"/>
          <w:rFonts w:hint="default" w:ascii="Times New Roman" w:hAnsi="Times New Roman" w:eastAsia="黑体" w:cs="Times New Roman"/>
          <w:sz w:val="32"/>
          <w:szCs w:val="32"/>
          <w:shd w:val="clear" w:color="auto" w:fill="FFFFFF"/>
        </w:rPr>
        <w:sectPr>
          <w:footerReference r:id="rId3" w:type="default"/>
          <w:pgSz w:w="11915" w:h="16840"/>
          <w:pgMar w:top="1440" w:right="1800" w:bottom="1440" w:left="1800" w:header="851" w:footer="992" w:gutter="0"/>
          <w:pgNumType w:fmt="numberInDash"/>
          <w:cols w:space="720" w:num="1"/>
          <w:docGrid w:type="lines" w:linePitch="312" w:charSpace="0"/>
        </w:sectPr>
      </w:pPr>
    </w:p>
    <w:tbl>
      <w:tblPr>
        <w:tblStyle w:val="7"/>
        <w:tblW w:w="19800" w:type="dxa"/>
        <w:jc w:val="center"/>
        <w:tblLayout w:type="fixed"/>
        <w:tblCellMar>
          <w:top w:w="0" w:type="dxa"/>
          <w:left w:w="108" w:type="dxa"/>
          <w:bottom w:w="0" w:type="dxa"/>
          <w:right w:w="108" w:type="dxa"/>
        </w:tblCellMar>
      </w:tblPr>
      <w:tblGrid>
        <w:gridCol w:w="4210"/>
        <w:gridCol w:w="838"/>
        <w:gridCol w:w="4583"/>
        <w:gridCol w:w="4950"/>
        <w:gridCol w:w="800"/>
        <w:gridCol w:w="4419"/>
      </w:tblGrid>
      <w:tr>
        <w:tblPrEx>
          <w:tblCellMar>
            <w:top w:w="0" w:type="dxa"/>
            <w:left w:w="108" w:type="dxa"/>
            <w:bottom w:w="0" w:type="dxa"/>
            <w:right w:w="108" w:type="dxa"/>
          </w:tblCellMar>
        </w:tblPrEx>
        <w:trPr>
          <w:trHeight w:val="390" w:hRule="atLeast"/>
          <w:jc w:val="center"/>
        </w:trPr>
        <w:tc>
          <w:tcPr>
            <w:tcW w:w="19800" w:type="dxa"/>
            <w:gridSpan w:val="6"/>
            <w:tcBorders>
              <w:top w:val="nil"/>
              <w:left w:val="nil"/>
              <w:bottom w:val="nil"/>
              <w:right w:val="nil"/>
            </w:tcBorders>
            <w:shd w:val="clear" w:color="auto" w:fill="auto"/>
            <w:vAlign w:val="bottom"/>
          </w:tcPr>
          <w:p>
            <w:pPr>
              <w:jc w:val="center"/>
              <w:textAlignment w:val="bottom"/>
              <w:rPr>
                <w:rFonts w:hint="default" w:ascii="Times New Roman" w:hAnsi="Times New Roman" w:cs="Times New Roman"/>
                <w:color w:val="000000"/>
                <w:sz w:val="30"/>
                <w:szCs w:val="30"/>
              </w:rPr>
            </w:pPr>
            <w:r>
              <w:rPr>
                <w:rFonts w:hint="default" w:ascii="Times New Roman" w:hAnsi="Times New Roman" w:cs="Times New Roman"/>
                <w:b/>
                <w:bCs/>
                <w:color w:val="000000"/>
                <w:sz w:val="30"/>
                <w:szCs w:val="30"/>
              </w:rPr>
              <w:t>收入支出决算表</w:t>
            </w:r>
          </w:p>
        </w:tc>
      </w:tr>
      <w:tr>
        <w:tblPrEx>
          <w:tblCellMar>
            <w:top w:w="0" w:type="dxa"/>
            <w:left w:w="108" w:type="dxa"/>
            <w:bottom w:w="0" w:type="dxa"/>
            <w:right w:w="108" w:type="dxa"/>
          </w:tblCellMar>
        </w:tblPrEx>
        <w:trPr>
          <w:trHeight w:val="255" w:hRule="atLeast"/>
          <w:jc w:val="center"/>
        </w:trPr>
        <w:tc>
          <w:tcPr>
            <w:tcW w:w="15381" w:type="dxa"/>
            <w:gridSpan w:val="5"/>
            <w:vMerge w:val="restart"/>
            <w:tcBorders>
              <w:top w:val="nil"/>
              <w:left w:val="nil"/>
              <w:right w:val="nil"/>
            </w:tcBorders>
            <w:shd w:val="clear" w:color="auto" w:fill="auto"/>
            <w:vAlign w:val="bottom"/>
          </w:tcPr>
          <w:p>
            <w:pP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单位</w:t>
            </w:r>
            <w:r>
              <w:rPr>
                <w:rFonts w:hint="default" w:ascii="Times New Roman" w:hAnsi="Times New Roman" w:cs="Times New Roman"/>
                <w:sz w:val="20"/>
                <w:szCs w:val="20"/>
              </w:rPr>
              <w:t>：</w:t>
            </w:r>
            <w:r>
              <w:rPr>
                <w:rFonts w:hint="default" w:ascii="Times New Roman" w:hAnsi="Times New Roman" w:cs="Times New Roman"/>
                <w:sz w:val="20"/>
              </w:rPr>
              <w:t>重庆市涪陵区同乐镇人民政府</w:t>
            </w:r>
          </w:p>
        </w:tc>
        <w:tc>
          <w:tcPr>
            <w:tcW w:w="4419" w:type="dxa"/>
            <w:tcBorders>
              <w:top w:val="nil"/>
              <w:left w:val="nil"/>
              <w:bottom w:val="nil"/>
              <w:right w:val="nil"/>
            </w:tcBorders>
            <w:shd w:val="clear" w:color="auto" w:fill="auto"/>
            <w:vAlign w:val="bottom"/>
          </w:tcPr>
          <w:p>
            <w:pPr>
              <w:jc w:val="right"/>
              <w:textAlignment w:val="bottom"/>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公开01表</w:t>
            </w:r>
          </w:p>
        </w:tc>
      </w:tr>
      <w:tr>
        <w:tblPrEx>
          <w:tblCellMar>
            <w:top w:w="0" w:type="dxa"/>
            <w:left w:w="108" w:type="dxa"/>
            <w:bottom w:w="0" w:type="dxa"/>
            <w:right w:w="108" w:type="dxa"/>
          </w:tblCellMar>
        </w:tblPrEx>
        <w:trPr>
          <w:trHeight w:val="255" w:hRule="atLeast"/>
          <w:jc w:val="center"/>
        </w:trPr>
        <w:tc>
          <w:tcPr>
            <w:tcW w:w="15381" w:type="dxa"/>
            <w:gridSpan w:val="5"/>
            <w:vMerge w:val="continue"/>
            <w:tcBorders>
              <w:left w:val="nil"/>
              <w:bottom w:val="nil"/>
              <w:right w:val="nil"/>
            </w:tcBorders>
            <w:shd w:val="clear" w:color="auto" w:fill="auto"/>
            <w:vAlign w:val="bottom"/>
          </w:tcPr>
          <w:p>
            <w:pPr>
              <w:rPr>
                <w:rFonts w:hint="default" w:ascii="Times New Roman" w:hAnsi="Times New Roman" w:cs="Times New Roman"/>
                <w:color w:val="000000"/>
                <w:sz w:val="20"/>
                <w:szCs w:val="20"/>
              </w:rPr>
            </w:pPr>
          </w:p>
        </w:tc>
        <w:tc>
          <w:tcPr>
            <w:tcW w:w="4419" w:type="dxa"/>
            <w:tcBorders>
              <w:top w:val="nil"/>
              <w:left w:val="nil"/>
              <w:bottom w:val="nil"/>
              <w:right w:val="nil"/>
            </w:tcBorders>
            <w:shd w:val="clear" w:color="auto" w:fill="auto"/>
            <w:vAlign w:val="bottom"/>
          </w:tcPr>
          <w:p>
            <w:pPr>
              <w:jc w:val="right"/>
              <w:textAlignment w:val="bottom"/>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单位：万元</w:t>
            </w:r>
          </w:p>
        </w:tc>
      </w:tr>
      <w:tr>
        <w:tblPrEx>
          <w:tblCellMar>
            <w:top w:w="0" w:type="dxa"/>
            <w:left w:w="108" w:type="dxa"/>
            <w:bottom w:w="0" w:type="dxa"/>
            <w:right w:w="108" w:type="dxa"/>
          </w:tblCellMar>
        </w:tblPrEx>
        <w:trPr>
          <w:trHeight w:val="308" w:hRule="atLeast"/>
          <w:jc w:val="center"/>
        </w:trPr>
        <w:tc>
          <w:tcPr>
            <w:tcW w:w="96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收入</w:t>
            </w:r>
          </w:p>
        </w:tc>
        <w:tc>
          <w:tcPr>
            <w:tcW w:w="10169" w:type="dxa"/>
            <w:gridSpan w:val="3"/>
            <w:tcBorders>
              <w:top w:val="single" w:color="000000" w:sz="4" w:space="0"/>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支出</w:t>
            </w:r>
          </w:p>
        </w:tc>
      </w:tr>
      <w:tr>
        <w:tblPrEx>
          <w:tblCellMar>
            <w:top w:w="0" w:type="dxa"/>
            <w:left w:w="108" w:type="dxa"/>
            <w:bottom w:w="0" w:type="dxa"/>
            <w:right w:w="108" w:type="dxa"/>
          </w:tblCellMar>
        </w:tblPrEx>
        <w:trPr>
          <w:trHeight w:val="308" w:hRule="atLeast"/>
          <w:jc w:val="center"/>
        </w:trPr>
        <w:tc>
          <w:tcPr>
            <w:tcW w:w="4210" w:type="dxa"/>
            <w:tcBorders>
              <w:top w:val="nil"/>
              <w:left w:val="single" w:color="000000" w:sz="4" w:space="0"/>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项目</w:t>
            </w:r>
          </w:p>
        </w:tc>
        <w:tc>
          <w:tcPr>
            <w:tcW w:w="838"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行次</w:t>
            </w:r>
          </w:p>
        </w:tc>
        <w:tc>
          <w:tcPr>
            <w:tcW w:w="4583"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金额</w:t>
            </w:r>
          </w:p>
        </w:tc>
        <w:tc>
          <w:tcPr>
            <w:tcW w:w="4950"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项目</w:t>
            </w:r>
          </w:p>
        </w:tc>
        <w:tc>
          <w:tcPr>
            <w:tcW w:w="800"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行次</w:t>
            </w:r>
          </w:p>
        </w:tc>
        <w:tc>
          <w:tcPr>
            <w:tcW w:w="4419"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金额</w:t>
            </w:r>
          </w:p>
        </w:tc>
      </w:tr>
      <w:tr>
        <w:tblPrEx>
          <w:tblCellMar>
            <w:top w:w="0" w:type="dxa"/>
            <w:left w:w="108" w:type="dxa"/>
            <w:bottom w:w="0" w:type="dxa"/>
            <w:right w:w="108" w:type="dxa"/>
          </w:tblCellMar>
        </w:tblPrEx>
        <w:trPr>
          <w:trHeight w:val="308" w:hRule="atLeast"/>
          <w:jc w:val="center"/>
        </w:trPr>
        <w:tc>
          <w:tcPr>
            <w:tcW w:w="4210" w:type="dxa"/>
            <w:tcBorders>
              <w:top w:val="nil"/>
              <w:left w:val="single" w:color="000000" w:sz="4" w:space="0"/>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栏次</w:t>
            </w:r>
          </w:p>
        </w:tc>
        <w:tc>
          <w:tcPr>
            <w:tcW w:w="838" w:type="dxa"/>
            <w:tcBorders>
              <w:top w:val="nil"/>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color w:val="000000"/>
                <w:sz w:val="22"/>
                <w:szCs w:val="22"/>
              </w:rPr>
            </w:pPr>
          </w:p>
        </w:tc>
        <w:tc>
          <w:tcPr>
            <w:tcW w:w="4583"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1</w:t>
            </w:r>
          </w:p>
        </w:tc>
        <w:tc>
          <w:tcPr>
            <w:tcW w:w="4950"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栏次</w:t>
            </w:r>
          </w:p>
        </w:tc>
        <w:tc>
          <w:tcPr>
            <w:tcW w:w="800" w:type="dxa"/>
            <w:tcBorders>
              <w:top w:val="nil"/>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b/>
                <w:bCs/>
                <w:color w:val="000000"/>
                <w:sz w:val="22"/>
                <w:szCs w:val="22"/>
              </w:rPr>
            </w:pPr>
          </w:p>
        </w:tc>
        <w:tc>
          <w:tcPr>
            <w:tcW w:w="4419"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2</w:t>
            </w:r>
          </w:p>
        </w:tc>
      </w:tr>
      <w:tr>
        <w:tblPrEx>
          <w:tblCellMar>
            <w:top w:w="0" w:type="dxa"/>
            <w:left w:w="108" w:type="dxa"/>
            <w:bottom w:w="0" w:type="dxa"/>
            <w:right w:w="108" w:type="dxa"/>
          </w:tblCellMar>
        </w:tblPrEx>
        <w:trPr>
          <w:trHeight w:val="308" w:hRule="atLeast"/>
          <w:jc w:val="center"/>
        </w:trPr>
        <w:tc>
          <w:tcPr>
            <w:tcW w:w="4210" w:type="dxa"/>
            <w:tcBorders>
              <w:top w:val="nil"/>
              <w:left w:val="single" w:color="000000" w:sz="4" w:space="0"/>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一、一般公共预算财政拨款收入</w:t>
            </w:r>
          </w:p>
        </w:tc>
        <w:tc>
          <w:tcPr>
            <w:tcW w:w="838"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1</w:t>
            </w:r>
          </w:p>
        </w:tc>
        <w:tc>
          <w:tcPr>
            <w:tcW w:w="4583"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4125.97 </w:t>
            </w:r>
          </w:p>
        </w:tc>
        <w:tc>
          <w:tcPr>
            <w:tcW w:w="4950" w:type="dxa"/>
            <w:tcBorders>
              <w:top w:val="nil"/>
              <w:left w:val="nil"/>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一、一般公共服务支出</w:t>
            </w:r>
          </w:p>
        </w:tc>
        <w:tc>
          <w:tcPr>
            <w:tcW w:w="800"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31</w:t>
            </w:r>
          </w:p>
        </w:tc>
        <w:tc>
          <w:tcPr>
            <w:tcW w:w="4419"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1208.53 </w:t>
            </w:r>
          </w:p>
        </w:tc>
      </w:tr>
      <w:tr>
        <w:tblPrEx>
          <w:tblCellMar>
            <w:top w:w="0" w:type="dxa"/>
            <w:left w:w="108" w:type="dxa"/>
            <w:bottom w:w="0" w:type="dxa"/>
            <w:right w:w="108" w:type="dxa"/>
          </w:tblCellMar>
        </w:tblPrEx>
        <w:trPr>
          <w:trHeight w:val="308" w:hRule="atLeast"/>
          <w:jc w:val="center"/>
        </w:trPr>
        <w:tc>
          <w:tcPr>
            <w:tcW w:w="4210" w:type="dxa"/>
            <w:tcBorders>
              <w:top w:val="nil"/>
              <w:left w:val="single" w:color="000000" w:sz="4" w:space="0"/>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二、政府性基金预算财政拨款收入</w:t>
            </w:r>
          </w:p>
        </w:tc>
        <w:tc>
          <w:tcPr>
            <w:tcW w:w="838"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2</w:t>
            </w:r>
          </w:p>
        </w:tc>
        <w:tc>
          <w:tcPr>
            <w:tcW w:w="4583"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4.00 </w:t>
            </w:r>
          </w:p>
        </w:tc>
        <w:tc>
          <w:tcPr>
            <w:tcW w:w="4950" w:type="dxa"/>
            <w:tcBorders>
              <w:top w:val="nil"/>
              <w:left w:val="nil"/>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二、外交支出</w:t>
            </w:r>
          </w:p>
        </w:tc>
        <w:tc>
          <w:tcPr>
            <w:tcW w:w="800"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32</w:t>
            </w:r>
          </w:p>
        </w:tc>
        <w:tc>
          <w:tcPr>
            <w:tcW w:w="4419"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r>
      <w:tr>
        <w:tblPrEx>
          <w:tblCellMar>
            <w:top w:w="0" w:type="dxa"/>
            <w:left w:w="108" w:type="dxa"/>
            <w:bottom w:w="0" w:type="dxa"/>
            <w:right w:w="108" w:type="dxa"/>
          </w:tblCellMar>
        </w:tblPrEx>
        <w:trPr>
          <w:trHeight w:val="308" w:hRule="atLeast"/>
          <w:jc w:val="center"/>
        </w:trPr>
        <w:tc>
          <w:tcPr>
            <w:tcW w:w="4210" w:type="dxa"/>
            <w:tcBorders>
              <w:top w:val="nil"/>
              <w:left w:val="single" w:color="000000" w:sz="4" w:space="0"/>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三、国有资本经营预算财政拨款收入</w:t>
            </w:r>
          </w:p>
        </w:tc>
        <w:tc>
          <w:tcPr>
            <w:tcW w:w="838"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3</w:t>
            </w:r>
          </w:p>
        </w:tc>
        <w:tc>
          <w:tcPr>
            <w:tcW w:w="4583"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4950" w:type="dxa"/>
            <w:tcBorders>
              <w:top w:val="nil"/>
              <w:left w:val="nil"/>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三、国防支出</w:t>
            </w:r>
          </w:p>
        </w:tc>
        <w:tc>
          <w:tcPr>
            <w:tcW w:w="800"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33</w:t>
            </w:r>
          </w:p>
        </w:tc>
        <w:tc>
          <w:tcPr>
            <w:tcW w:w="4419"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r>
      <w:tr>
        <w:tblPrEx>
          <w:tblCellMar>
            <w:top w:w="0" w:type="dxa"/>
            <w:left w:w="108" w:type="dxa"/>
            <w:bottom w:w="0" w:type="dxa"/>
            <w:right w:w="108" w:type="dxa"/>
          </w:tblCellMar>
        </w:tblPrEx>
        <w:trPr>
          <w:trHeight w:val="308" w:hRule="atLeast"/>
          <w:jc w:val="center"/>
        </w:trPr>
        <w:tc>
          <w:tcPr>
            <w:tcW w:w="4210" w:type="dxa"/>
            <w:tcBorders>
              <w:top w:val="nil"/>
              <w:left w:val="single" w:color="000000" w:sz="4" w:space="0"/>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四、上级补助收入</w:t>
            </w:r>
          </w:p>
        </w:tc>
        <w:tc>
          <w:tcPr>
            <w:tcW w:w="838"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4</w:t>
            </w:r>
          </w:p>
        </w:tc>
        <w:tc>
          <w:tcPr>
            <w:tcW w:w="4583"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4950" w:type="dxa"/>
            <w:tcBorders>
              <w:top w:val="nil"/>
              <w:left w:val="nil"/>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四、公共安全支出</w:t>
            </w:r>
          </w:p>
        </w:tc>
        <w:tc>
          <w:tcPr>
            <w:tcW w:w="800"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34</w:t>
            </w:r>
          </w:p>
        </w:tc>
        <w:tc>
          <w:tcPr>
            <w:tcW w:w="4419"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r>
      <w:tr>
        <w:tblPrEx>
          <w:tblCellMar>
            <w:top w:w="0" w:type="dxa"/>
            <w:left w:w="108" w:type="dxa"/>
            <w:bottom w:w="0" w:type="dxa"/>
            <w:right w:w="108" w:type="dxa"/>
          </w:tblCellMar>
        </w:tblPrEx>
        <w:trPr>
          <w:trHeight w:val="308" w:hRule="atLeast"/>
          <w:jc w:val="center"/>
        </w:trPr>
        <w:tc>
          <w:tcPr>
            <w:tcW w:w="4210" w:type="dxa"/>
            <w:tcBorders>
              <w:top w:val="nil"/>
              <w:left w:val="single" w:color="000000" w:sz="4" w:space="0"/>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五、事业收入</w:t>
            </w:r>
          </w:p>
        </w:tc>
        <w:tc>
          <w:tcPr>
            <w:tcW w:w="838"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5</w:t>
            </w:r>
          </w:p>
        </w:tc>
        <w:tc>
          <w:tcPr>
            <w:tcW w:w="4583"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4950" w:type="dxa"/>
            <w:tcBorders>
              <w:top w:val="nil"/>
              <w:left w:val="nil"/>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五、教育支出</w:t>
            </w:r>
          </w:p>
        </w:tc>
        <w:tc>
          <w:tcPr>
            <w:tcW w:w="800"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35</w:t>
            </w:r>
          </w:p>
        </w:tc>
        <w:tc>
          <w:tcPr>
            <w:tcW w:w="4419"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r>
      <w:tr>
        <w:tblPrEx>
          <w:tblCellMar>
            <w:top w:w="0" w:type="dxa"/>
            <w:left w:w="108" w:type="dxa"/>
            <w:bottom w:w="0" w:type="dxa"/>
            <w:right w:w="108" w:type="dxa"/>
          </w:tblCellMar>
        </w:tblPrEx>
        <w:trPr>
          <w:trHeight w:val="308" w:hRule="atLeast"/>
          <w:jc w:val="center"/>
        </w:trPr>
        <w:tc>
          <w:tcPr>
            <w:tcW w:w="4210" w:type="dxa"/>
            <w:tcBorders>
              <w:top w:val="nil"/>
              <w:left w:val="single" w:color="000000" w:sz="4" w:space="0"/>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六、经营收入</w:t>
            </w:r>
          </w:p>
        </w:tc>
        <w:tc>
          <w:tcPr>
            <w:tcW w:w="838"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6</w:t>
            </w:r>
          </w:p>
        </w:tc>
        <w:tc>
          <w:tcPr>
            <w:tcW w:w="4583"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4950" w:type="dxa"/>
            <w:tcBorders>
              <w:top w:val="nil"/>
              <w:left w:val="nil"/>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六、科学技术支出</w:t>
            </w:r>
          </w:p>
        </w:tc>
        <w:tc>
          <w:tcPr>
            <w:tcW w:w="800"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36</w:t>
            </w:r>
          </w:p>
        </w:tc>
        <w:tc>
          <w:tcPr>
            <w:tcW w:w="4419"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r>
      <w:tr>
        <w:tblPrEx>
          <w:tblCellMar>
            <w:top w:w="0" w:type="dxa"/>
            <w:left w:w="108" w:type="dxa"/>
            <w:bottom w:w="0" w:type="dxa"/>
            <w:right w:w="108" w:type="dxa"/>
          </w:tblCellMar>
        </w:tblPrEx>
        <w:trPr>
          <w:trHeight w:val="308" w:hRule="atLeast"/>
          <w:jc w:val="center"/>
        </w:trPr>
        <w:tc>
          <w:tcPr>
            <w:tcW w:w="4210" w:type="dxa"/>
            <w:tcBorders>
              <w:top w:val="nil"/>
              <w:left w:val="single" w:color="000000" w:sz="4" w:space="0"/>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七、附属单位上缴收入</w:t>
            </w:r>
          </w:p>
        </w:tc>
        <w:tc>
          <w:tcPr>
            <w:tcW w:w="838"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7</w:t>
            </w:r>
          </w:p>
        </w:tc>
        <w:tc>
          <w:tcPr>
            <w:tcW w:w="4583"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4950" w:type="dxa"/>
            <w:tcBorders>
              <w:top w:val="nil"/>
              <w:left w:val="nil"/>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七、文化旅游体育与传媒支出</w:t>
            </w:r>
          </w:p>
        </w:tc>
        <w:tc>
          <w:tcPr>
            <w:tcW w:w="800"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37</w:t>
            </w:r>
          </w:p>
        </w:tc>
        <w:tc>
          <w:tcPr>
            <w:tcW w:w="4419"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147.45 </w:t>
            </w:r>
          </w:p>
        </w:tc>
      </w:tr>
      <w:tr>
        <w:tblPrEx>
          <w:tblCellMar>
            <w:top w:w="0" w:type="dxa"/>
            <w:left w:w="108" w:type="dxa"/>
            <w:bottom w:w="0" w:type="dxa"/>
            <w:right w:w="108" w:type="dxa"/>
          </w:tblCellMar>
        </w:tblPrEx>
        <w:trPr>
          <w:trHeight w:val="308" w:hRule="atLeast"/>
          <w:jc w:val="center"/>
        </w:trPr>
        <w:tc>
          <w:tcPr>
            <w:tcW w:w="4210" w:type="dxa"/>
            <w:tcBorders>
              <w:top w:val="nil"/>
              <w:left w:val="single" w:color="000000" w:sz="4" w:space="0"/>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八、其他收入</w:t>
            </w:r>
          </w:p>
        </w:tc>
        <w:tc>
          <w:tcPr>
            <w:tcW w:w="838"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8</w:t>
            </w:r>
          </w:p>
        </w:tc>
        <w:tc>
          <w:tcPr>
            <w:tcW w:w="4583" w:type="dxa"/>
            <w:tcBorders>
              <w:top w:val="nil"/>
              <w:left w:val="nil"/>
              <w:bottom w:val="nil"/>
              <w:right w:val="single" w:color="000000" w:sz="4" w:space="0"/>
            </w:tcBorders>
            <w:shd w:val="clear" w:color="auto" w:fill="auto"/>
            <w:vAlign w:val="center"/>
          </w:tcPr>
          <w:p>
            <w:pPr>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4950" w:type="dxa"/>
            <w:tcBorders>
              <w:top w:val="nil"/>
              <w:left w:val="nil"/>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八、社会保障和就业支出</w:t>
            </w:r>
          </w:p>
        </w:tc>
        <w:tc>
          <w:tcPr>
            <w:tcW w:w="800"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38</w:t>
            </w:r>
          </w:p>
        </w:tc>
        <w:tc>
          <w:tcPr>
            <w:tcW w:w="4419"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549.98 </w:t>
            </w:r>
          </w:p>
        </w:tc>
      </w:tr>
      <w:tr>
        <w:tblPrEx>
          <w:tblCellMar>
            <w:top w:w="0" w:type="dxa"/>
            <w:left w:w="108" w:type="dxa"/>
            <w:bottom w:w="0" w:type="dxa"/>
            <w:right w:w="108" w:type="dxa"/>
          </w:tblCellMar>
        </w:tblPrEx>
        <w:trPr>
          <w:trHeight w:val="308" w:hRule="atLeast"/>
          <w:jc w:val="center"/>
        </w:trPr>
        <w:tc>
          <w:tcPr>
            <w:tcW w:w="4210" w:type="dxa"/>
            <w:tcBorders>
              <w:top w:val="nil"/>
              <w:left w:val="single" w:color="000000" w:sz="4" w:space="0"/>
              <w:bottom w:val="single" w:color="000000" w:sz="4" w:space="0"/>
              <w:right w:val="single" w:color="000000" w:sz="4" w:space="0"/>
            </w:tcBorders>
            <w:shd w:val="clear" w:color="auto" w:fill="auto"/>
            <w:vAlign w:val="center"/>
          </w:tcPr>
          <w:p>
            <w:pPr>
              <w:spacing w:line="400" w:lineRule="exact"/>
              <w:rPr>
                <w:rFonts w:hint="default" w:ascii="Times New Roman" w:hAnsi="Times New Roman" w:cs="Times New Roman"/>
                <w:b/>
                <w:bCs/>
                <w:color w:val="000000"/>
                <w:sz w:val="22"/>
                <w:szCs w:val="22"/>
              </w:rPr>
            </w:pPr>
          </w:p>
        </w:tc>
        <w:tc>
          <w:tcPr>
            <w:tcW w:w="838" w:type="dxa"/>
            <w:tcBorders>
              <w:top w:val="nil"/>
              <w:left w:val="nil"/>
              <w:bottom w:val="single" w:color="000000" w:sz="4" w:space="0"/>
              <w:right w:val="nil"/>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9</w:t>
            </w:r>
          </w:p>
        </w:tc>
        <w:tc>
          <w:tcPr>
            <w:tcW w:w="4583" w:type="dxa"/>
            <w:tcBorders>
              <w:top w:val="single" w:color="000000" w:sz="4" w:space="0"/>
              <w:left w:val="single" w:color="000000" w:sz="4" w:space="0"/>
              <w:bottom w:val="single" w:color="000000" w:sz="4" w:space="0"/>
              <w:right w:val="single" w:color="000000" w:sz="4" w:space="0"/>
            </w:tcBorders>
            <w:shd w:val="clear" w:color="auto" w:fill="auto"/>
            <w:vAlign w:val="bottom"/>
          </w:tcPr>
          <w:p>
            <w:pPr>
              <w:spacing w:line="400" w:lineRule="exact"/>
              <w:jc w:val="right"/>
              <w:rPr>
                <w:rFonts w:hint="default" w:ascii="Times New Roman" w:hAnsi="Times New Roman" w:cs="Times New Roman" w:eastAsiaTheme="minorEastAsia"/>
                <w:color w:val="000000"/>
                <w:sz w:val="22"/>
                <w:szCs w:val="22"/>
              </w:rPr>
            </w:pPr>
          </w:p>
        </w:tc>
        <w:tc>
          <w:tcPr>
            <w:tcW w:w="4950" w:type="dxa"/>
            <w:tcBorders>
              <w:top w:val="nil"/>
              <w:left w:val="nil"/>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九、卫生健康支出</w:t>
            </w:r>
          </w:p>
        </w:tc>
        <w:tc>
          <w:tcPr>
            <w:tcW w:w="800"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39</w:t>
            </w:r>
          </w:p>
        </w:tc>
        <w:tc>
          <w:tcPr>
            <w:tcW w:w="4419"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128.26 </w:t>
            </w:r>
          </w:p>
        </w:tc>
      </w:tr>
      <w:tr>
        <w:tblPrEx>
          <w:tblCellMar>
            <w:top w:w="0" w:type="dxa"/>
            <w:left w:w="108" w:type="dxa"/>
            <w:bottom w:w="0" w:type="dxa"/>
            <w:right w:w="108" w:type="dxa"/>
          </w:tblCellMar>
        </w:tblPrEx>
        <w:trPr>
          <w:trHeight w:val="308" w:hRule="atLeast"/>
          <w:jc w:val="center"/>
        </w:trPr>
        <w:tc>
          <w:tcPr>
            <w:tcW w:w="4210" w:type="dxa"/>
            <w:tcBorders>
              <w:top w:val="nil"/>
              <w:left w:val="single" w:color="000000" w:sz="4" w:space="0"/>
              <w:bottom w:val="single" w:color="000000" w:sz="4" w:space="0"/>
              <w:right w:val="single" w:color="000000" w:sz="4" w:space="0"/>
            </w:tcBorders>
            <w:shd w:val="clear" w:color="auto" w:fill="auto"/>
            <w:vAlign w:val="center"/>
          </w:tcPr>
          <w:p>
            <w:pPr>
              <w:spacing w:line="400" w:lineRule="exact"/>
              <w:rPr>
                <w:rFonts w:hint="default" w:ascii="Times New Roman" w:hAnsi="Times New Roman" w:cs="Times New Roman"/>
                <w:b/>
                <w:bCs/>
                <w:color w:val="000000"/>
                <w:sz w:val="22"/>
                <w:szCs w:val="22"/>
              </w:rPr>
            </w:pPr>
          </w:p>
        </w:tc>
        <w:tc>
          <w:tcPr>
            <w:tcW w:w="838" w:type="dxa"/>
            <w:tcBorders>
              <w:top w:val="nil"/>
              <w:left w:val="nil"/>
              <w:bottom w:val="single" w:color="000000" w:sz="4" w:space="0"/>
              <w:right w:val="nil"/>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10</w:t>
            </w:r>
          </w:p>
        </w:tc>
        <w:tc>
          <w:tcPr>
            <w:tcW w:w="4583" w:type="dxa"/>
            <w:tcBorders>
              <w:top w:val="single" w:color="000000" w:sz="4" w:space="0"/>
              <w:left w:val="single" w:color="000000" w:sz="4" w:space="0"/>
              <w:bottom w:val="single" w:color="000000" w:sz="4" w:space="0"/>
              <w:right w:val="single" w:color="000000" w:sz="4" w:space="0"/>
            </w:tcBorders>
            <w:shd w:val="clear" w:color="auto" w:fill="auto"/>
            <w:vAlign w:val="bottom"/>
          </w:tcPr>
          <w:p>
            <w:pPr>
              <w:spacing w:line="400" w:lineRule="exact"/>
              <w:jc w:val="right"/>
              <w:rPr>
                <w:rFonts w:hint="default" w:ascii="Times New Roman" w:hAnsi="Times New Roman" w:cs="Times New Roman" w:eastAsiaTheme="minorEastAsia"/>
                <w:color w:val="000000"/>
                <w:sz w:val="22"/>
                <w:szCs w:val="22"/>
              </w:rPr>
            </w:pPr>
          </w:p>
        </w:tc>
        <w:tc>
          <w:tcPr>
            <w:tcW w:w="4950" w:type="dxa"/>
            <w:tcBorders>
              <w:top w:val="nil"/>
              <w:left w:val="nil"/>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十、节能环保支出</w:t>
            </w:r>
          </w:p>
        </w:tc>
        <w:tc>
          <w:tcPr>
            <w:tcW w:w="800"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40</w:t>
            </w:r>
          </w:p>
        </w:tc>
        <w:tc>
          <w:tcPr>
            <w:tcW w:w="4419"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237.04 </w:t>
            </w:r>
          </w:p>
        </w:tc>
      </w:tr>
      <w:tr>
        <w:tblPrEx>
          <w:tblCellMar>
            <w:top w:w="0" w:type="dxa"/>
            <w:left w:w="108" w:type="dxa"/>
            <w:bottom w:w="0" w:type="dxa"/>
            <w:right w:w="108" w:type="dxa"/>
          </w:tblCellMar>
        </w:tblPrEx>
        <w:trPr>
          <w:trHeight w:val="308" w:hRule="atLeast"/>
          <w:jc w:val="center"/>
        </w:trPr>
        <w:tc>
          <w:tcPr>
            <w:tcW w:w="4210" w:type="dxa"/>
            <w:tcBorders>
              <w:top w:val="nil"/>
              <w:left w:val="single" w:color="000000" w:sz="4" w:space="0"/>
              <w:bottom w:val="single" w:color="000000" w:sz="4" w:space="0"/>
              <w:right w:val="single" w:color="000000" w:sz="4" w:space="0"/>
            </w:tcBorders>
            <w:shd w:val="clear" w:color="auto" w:fill="auto"/>
            <w:vAlign w:val="center"/>
          </w:tcPr>
          <w:p>
            <w:pPr>
              <w:spacing w:line="400" w:lineRule="exact"/>
              <w:rPr>
                <w:rFonts w:hint="default" w:ascii="Times New Roman" w:hAnsi="Times New Roman" w:cs="Times New Roman"/>
                <w:b/>
                <w:bCs/>
                <w:color w:val="000000"/>
                <w:sz w:val="22"/>
                <w:szCs w:val="22"/>
              </w:rPr>
            </w:pPr>
          </w:p>
        </w:tc>
        <w:tc>
          <w:tcPr>
            <w:tcW w:w="838" w:type="dxa"/>
            <w:tcBorders>
              <w:top w:val="nil"/>
              <w:left w:val="nil"/>
              <w:bottom w:val="single" w:color="000000" w:sz="4" w:space="0"/>
              <w:right w:val="nil"/>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11</w:t>
            </w:r>
          </w:p>
        </w:tc>
        <w:tc>
          <w:tcPr>
            <w:tcW w:w="4583" w:type="dxa"/>
            <w:tcBorders>
              <w:top w:val="single" w:color="000000" w:sz="4" w:space="0"/>
              <w:left w:val="single" w:color="000000" w:sz="4" w:space="0"/>
              <w:bottom w:val="single" w:color="000000" w:sz="4" w:space="0"/>
              <w:right w:val="single" w:color="000000" w:sz="4" w:space="0"/>
            </w:tcBorders>
            <w:shd w:val="clear" w:color="auto" w:fill="auto"/>
            <w:vAlign w:val="bottom"/>
          </w:tcPr>
          <w:p>
            <w:pPr>
              <w:spacing w:line="400" w:lineRule="exact"/>
              <w:jc w:val="right"/>
              <w:rPr>
                <w:rFonts w:hint="default" w:ascii="Times New Roman" w:hAnsi="Times New Roman" w:cs="Times New Roman" w:eastAsiaTheme="minorEastAsia"/>
                <w:color w:val="000000"/>
                <w:sz w:val="22"/>
                <w:szCs w:val="22"/>
              </w:rPr>
            </w:pPr>
          </w:p>
        </w:tc>
        <w:tc>
          <w:tcPr>
            <w:tcW w:w="4950" w:type="dxa"/>
            <w:tcBorders>
              <w:top w:val="nil"/>
              <w:left w:val="nil"/>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十一、城乡社区支出</w:t>
            </w:r>
          </w:p>
        </w:tc>
        <w:tc>
          <w:tcPr>
            <w:tcW w:w="800"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41</w:t>
            </w:r>
          </w:p>
        </w:tc>
        <w:tc>
          <w:tcPr>
            <w:tcW w:w="4419"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200.17 </w:t>
            </w:r>
          </w:p>
        </w:tc>
      </w:tr>
      <w:tr>
        <w:tblPrEx>
          <w:tblCellMar>
            <w:top w:w="0" w:type="dxa"/>
            <w:left w:w="108" w:type="dxa"/>
            <w:bottom w:w="0" w:type="dxa"/>
            <w:right w:w="108" w:type="dxa"/>
          </w:tblCellMar>
        </w:tblPrEx>
        <w:trPr>
          <w:trHeight w:val="308" w:hRule="atLeast"/>
          <w:jc w:val="center"/>
        </w:trPr>
        <w:tc>
          <w:tcPr>
            <w:tcW w:w="4210" w:type="dxa"/>
            <w:tcBorders>
              <w:top w:val="nil"/>
              <w:left w:val="single" w:color="000000" w:sz="4" w:space="0"/>
              <w:bottom w:val="single" w:color="000000" w:sz="4" w:space="0"/>
              <w:right w:val="single" w:color="000000" w:sz="4" w:space="0"/>
            </w:tcBorders>
            <w:shd w:val="clear" w:color="auto" w:fill="auto"/>
            <w:vAlign w:val="center"/>
          </w:tcPr>
          <w:p>
            <w:pPr>
              <w:spacing w:line="400" w:lineRule="exact"/>
              <w:rPr>
                <w:rFonts w:hint="default" w:ascii="Times New Roman" w:hAnsi="Times New Roman" w:cs="Times New Roman"/>
                <w:b/>
                <w:bCs/>
                <w:color w:val="000000"/>
                <w:sz w:val="22"/>
                <w:szCs w:val="22"/>
              </w:rPr>
            </w:pPr>
          </w:p>
        </w:tc>
        <w:tc>
          <w:tcPr>
            <w:tcW w:w="838" w:type="dxa"/>
            <w:tcBorders>
              <w:top w:val="nil"/>
              <w:left w:val="nil"/>
              <w:bottom w:val="single" w:color="000000" w:sz="4" w:space="0"/>
              <w:right w:val="nil"/>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12</w:t>
            </w:r>
          </w:p>
        </w:tc>
        <w:tc>
          <w:tcPr>
            <w:tcW w:w="4583" w:type="dxa"/>
            <w:tcBorders>
              <w:top w:val="single" w:color="000000" w:sz="4" w:space="0"/>
              <w:left w:val="single" w:color="000000" w:sz="4" w:space="0"/>
              <w:bottom w:val="single" w:color="000000" w:sz="4" w:space="0"/>
              <w:right w:val="single" w:color="000000" w:sz="4" w:space="0"/>
            </w:tcBorders>
            <w:shd w:val="clear" w:color="auto" w:fill="auto"/>
            <w:vAlign w:val="bottom"/>
          </w:tcPr>
          <w:p>
            <w:pPr>
              <w:spacing w:line="400" w:lineRule="exact"/>
              <w:jc w:val="right"/>
              <w:rPr>
                <w:rFonts w:hint="default" w:ascii="Times New Roman" w:hAnsi="Times New Roman" w:cs="Times New Roman" w:eastAsiaTheme="minorEastAsia"/>
                <w:color w:val="000000"/>
                <w:sz w:val="22"/>
                <w:szCs w:val="22"/>
              </w:rPr>
            </w:pPr>
          </w:p>
        </w:tc>
        <w:tc>
          <w:tcPr>
            <w:tcW w:w="4950" w:type="dxa"/>
            <w:tcBorders>
              <w:top w:val="nil"/>
              <w:left w:val="nil"/>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十二、农林水支出</w:t>
            </w:r>
          </w:p>
        </w:tc>
        <w:tc>
          <w:tcPr>
            <w:tcW w:w="800"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42</w:t>
            </w:r>
          </w:p>
        </w:tc>
        <w:tc>
          <w:tcPr>
            <w:tcW w:w="4419"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764.91 </w:t>
            </w:r>
          </w:p>
        </w:tc>
      </w:tr>
      <w:tr>
        <w:tblPrEx>
          <w:tblCellMar>
            <w:top w:w="0" w:type="dxa"/>
            <w:left w:w="108" w:type="dxa"/>
            <w:bottom w:w="0" w:type="dxa"/>
            <w:right w:w="108" w:type="dxa"/>
          </w:tblCellMar>
        </w:tblPrEx>
        <w:trPr>
          <w:trHeight w:val="308" w:hRule="atLeast"/>
          <w:jc w:val="center"/>
        </w:trPr>
        <w:tc>
          <w:tcPr>
            <w:tcW w:w="4210" w:type="dxa"/>
            <w:tcBorders>
              <w:top w:val="nil"/>
              <w:left w:val="single" w:color="000000" w:sz="4" w:space="0"/>
              <w:bottom w:val="single" w:color="000000" w:sz="4" w:space="0"/>
              <w:right w:val="single" w:color="000000" w:sz="4" w:space="0"/>
            </w:tcBorders>
            <w:shd w:val="clear" w:color="auto" w:fill="auto"/>
            <w:vAlign w:val="center"/>
          </w:tcPr>
          <w:p>
            <w:pPr>
              <w:spacing w:line="400" w:lineRule="exact"/>
              <w:rPr>
                <w:rFonts w:hint="default" w:ascii="Times New Roman" w:hAnsi="Times New Roman" w:cs="Times New Roman"/>
                <w:b/>
                <w:bCs/>
                <w:color w:val="000000"/>
                <w:sz w:val="22"/>
                <w:szCs w:val="22"/>
              </w:rPr>
            </w:pPr>
          </w:p>
        </w:tc>
        <w:tc>
          <w:tcPr>
            <w:tcW w:w="838" w:type="dxa"/>
            <w:tcBorders>
              <w:top w:val="nil"/>
              <w:left w:val="nil"/>
              <w:bottom w:val="single" w:color="000000" w:sz="4" w:space="0"/>
              <w:right w:val="nil"/>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13</w:t>
            </w:r>
          </w:p>
        </w:tc>
        <w:tc>
          <w:tcPr>
            <w:tcW w:w="458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00" w:lineRule="exact"/>
              <w:jc w:val="right"/>
              <w:rPr>
                <w:rFonts w:hint="default" w:ascii="Times New Roman" w:hAnsi="Times New Roman" w:cs="Times New Roman" w:eastAsiaTheme="minorEastAsia"/>
                <w:color w:val="000000"/>
                <w:sz w:val="22"/>
                <w:szCs w:val="22"/>
              </w:rPr>
            </w:pPr>
          </w:p>
        </w:tc>
        <w:tc>
          <w:tcPr>
            <w:tcW w:w="4950" w:type="dxa"/>
            <w:tcBorders>
              <w:top w:val="nil"/>
              <w:left w:val="nil"/>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十三、交通运输支出</w:t>
            </w:r>
          </w:p>
        </w:tc>
        <w:tc>
          <w:tcPr>
            <w:tcW w:w="800"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43</w:t>
            </w:r>
          </w:p>
        </w:tc>
        <w:tc>
          <w:tcPr>
            <w:tcW w:w="4419"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r>
      <w:tr>
        <w:tblPrEx>
          <w:tblCellMar>
            <w:top w:w="0" w:type="dxa"/>
            <w:left w:w="108" w:type="dxa"/>
            <w:bottom w:w="0" w:type="dxa"/>
            <w:right w:w="108" w:type="dxa"/>
          </w:tblCellMar>
        </w:tblPrEx>
        <w:trPr>
          <w:trHeight w:val="308" w:hRule="atLeast"/>
          <w:jc w:val="center"/>
        </w:trPr>
        <w:tc>
          <w:tcPr>
            <w:tcW w:w="4210" w:type="dxa"/>
            <w:tcBorders>
              <w:top w:val="nil"/>
              <w:left w:val="single" w:color="000000" w:sz="4" w:space="0"/>
              <w:bottom w:val="single" w:color="000000" w:sz="4" w:space="0"/>
              <w:right w:val="single" w:color="000000" w:sz="4" w:space="0"/>
            </w:tcBorders>
            <w:shd w:val="clear" w:color="auto" w:fill="auto"/>
            <w:vAlign w:val="center"/>
          </w:tcPr>
          <w:p>
            <w:pPr>
              <w:spacing w:line="400" w:lineRule="exact"/>
              <w:rPr>
                <w:rFonts w:hint="default" w:ascii="Times New Roman" w:hAnsi="Times New Roman" w:cs="Times New Roman"/>
                <w:b/>
                <w:bCs/>
                <w:color w:val="000000"/>
                <w:sz w:val="22"/>
                <w:szCs w:val="22"/>
              </w:rPr>
            </w:pPr>
          </w:p>
        </w:tc>
        <w:tc>
          <w:tcPr>
            <w:tcW w:w="838"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14</w:t>
            </w:r>
          </w:p>
        </w:tc>
        <w:tc>
          <w:tcPr>
            <w:tcW w:w="4583" w:type="dxa"/>
            <w:tcBorders>
              <w:top w:val="nil"/>
              <w:left w:val="nil"/>
              <w:bottom w:val="single" w:color="000000" w:sz="4" w:space="0"/>
              <w:right w:val="single" w:color="000000" w:sz="4" w:space="0"/>
            </w:tcBorders>
            <w:shd w:val="clear" w:color="auto" w:fill="auto"/>
            <w:vAlign w:val="center"/>
          </w:tcPr>
          <w:p>
            <w:pPr>
              <w:spacing w:line="400" w:lineRule="exact"/>
              <w:jc w:val="right"/>
              <w:rPr>
                <w:rFonts w:hint="default" w:ascii="Times New Roman" w:hAnsi="Times New Roman" w:cs="Times New Roman" w:eastAsiaTheme="minorEastAsia"/>
                <w:color w:val="000000"/>
                <w:sz w:val="22"/>
                <w:szCs w:val="22"/>
              </w:rPr>
            </w:pPr>
          </w:p>
        </w:tc>
        <w:tc>
          <w:tcPr>
            <w:tcW w:w="4950" w:type="dxa"/>
            <w:tcBorders>
              <w:top w:val="nil"/>
              <w:left w:val="nil"/>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十四、资源勘探工业信息等支出</w:t>
            </w:r>
          </w:p>
        </w:tc>
        <w:tc>
          <w:tcPr>
            <w:tcW w:w="800"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44</w:t>
            </w:r>
          </w:p>
        </w:tc>
        <w:tc>
          <w:tcPr>
            <w:tcW w:w="4419"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760.00 </w:t>
            </w:r>
          </w:p>
        </w:tc>
      </w:tr>
      <w:tr>
        <w:tblPrEx>
          <w:tblCellMar>
            <w:top w:w="0" w:type="dxa"/>
            <w:left w:w="108" w:type="dxa"/>
            <w:bottom w:w="0" w:type="dxa"/>
            <w:right w:w="108" w:type="dxa"/>
          </w:tblCellMar>
        </w:tblPrEx>
        <w:trPr>
          <w:trHeight w:val="308" w:hRule="atLeast"/>
          <w:jc w:val="center"/>
        </w:trPr>
        <w:tc>
          <w:tcPr>
            <w:tcW w:w="4210" w:type="dxa"/>
            <w:tcBorders>
              <w:top w:val="nil"/>
              <w:left w:val="single" w:color="000000" w:sz="4" w:space="0"/>
              <w:bottom w:val="single" w:color="000000" w:sz="4" w:space="0"/>
              <w:right w:val="single" w:color="000000" w:sz="4" w:space="0"/>
            </w:tcBorders>
            <w:shd w:val="clear" w:color="auto" w:fill="auto"/>
            <w:vAlign w:val="center"/>
          </w:tcPr>
          <w:p>
            <w:pPr>
              <w:spacing w:line="400" w:lineRule="exact"/>
              <w:rPr>
                <w:rFonts w:hint="default" w:ascii="Times New Roman" w:hAnsi="Times New Roman" w:cs="Times New Roman"/>
                <w:b/>
                <w:bCs/>
                <w:color w:val="000000"/>
                <w:sz w:val="22"/>
                <w:szCs w:val="22"/>
              </w:rPr>
            </w:pPr>
          </w:p>
        </w:tc>
        <w:tc>
          <w:tcPr>
            <w:tcW w:w="838"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15</w:t>
            </w:r>
          </w:p>
        </w:tc>
        <w:tc>
          <w:tcPr>
            <w:tcW w:w="4583" w:type="dxa"/>
            <w:tcBorders>
              <w:top w:val="nil"/>
              <w:left w:val="nil"/>
              <w:bottom w:val="single" w:color="000000" w:sz="4" w:space="0"/>
              <w:right w:val="single" w:color="000000" w:sz="4" w:space="0"/>
            </w:tcBorders>
            <w:shd w:val="clear" w:color="auto" w:fill="auto"/>
            <w:vAlign w:val="center"/>
          </w:tcPr>
          <w:p>
            <w:pPr>
              <w:spacing w:line="400" w:lineRule="exact"/>
              <w:jc w:val="right"/>
              <w:rPr>
                <w:rFonts w:hint="default" w:ascii="Times New Roman" w:hAnsi="Times New Roman" w:cs="Times New Roman" w:eastAsiaTheme="minorEastAsia"/>
                <w:color w:val="000000"/>
                <w:sz w:val="22"/>
                <w:szCs w:val="22"/>
              </w:rPr>
            </w:pPr>
          </w:p>
        </w:tc>
        <w:tc>
          <w:tcPr>
            <w:tcW w:w="4950" w:type="dxa"/>
            <w:tcBorders>
              <w:top w:val="nil"/>
              <w:left w:val="nil"/>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十五、商业服务业等支出</w:t>
            </w:r>
          </w:p>
        </w:tc>
        <w:tc>
          <w:tcPr>
            <w:tcW w:w="800"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45</w:t>
            </w:r>
          </w:p>
        </w:tc>
        <w:tc>
          <w:tcPr>
            <w:tcW w:w="4419"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r>
      <w:tr>
        <w:tblPrEx>
          <w:tblCellMar>
            <w:top w:w="0" w:type="dxa"/>
            <w:left w:w="108" w:type="dxa"/>
            <w:bottom w:w="0" w:type="dxa"/>
            <w:right w:w="108" w:type="dxa"/>
          </w:tblCellMar>
        </w:tblPrEx>
        <w:trPr>
          <w:trHeight w:val="308" w:hRule="atLeast"/>
          <w:jc w:val="center"/>
        </w:trPr>
        <w:tc>
          <w:tcPr>
            <w:tcW w:w="4210" w:type="dxa"/>
            <w:tcBorders>
              <w:top w:val="nil"/>
              <w:left w:val="single" w:color="000000" w:sz="4" w:space="0"/>
              <w:bottom w:val="single" w:color="000000" w:sz="4" w:space="0"/>
              <w:right w:val="single" w:color="000000" w:sz="4" w:space="0"/>
            </w:tcBorders>
            <w:shd w:val="clear" w:color="auto" w:fill="auto"/>
            <w:vAlign w:val="center"/>
          </w:tcPr>
          <w:p>
            <w:pPr>
              <w:spacing w:line="400" w:lineRule="exact"/>
              <w:rPr>
                <w:rFonts w:hint="default" w:ascii="Times New Roman" w:hAnsi="Times New Roman" w:cs="Times New Roman"/>
                <w:b/>
                <w:bCs/>
                <w:color w:val="000000"/>
                <w:sz w:val="22"/>
                <w:szCs w:val="22"/>
              </w:rPr>
            </w:pPr>
          </w:p>
        </w:tc>
        <w:tc>
          <w:tcPr>
            <w:tcW w:w="838"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16</w:t>
            </w:r>
          </w:p>
        </w:tc>
        <w:tc>
          <w:tcPr>
            <w:tcW w:w="4583" w:type="dxa"/>
            <w:tcBorders>
              <w:top w:val="nil"/>
              <w:left w:val="nil"/>
              <w:bottom w:val="single" w:color="000000" w:sz="4" w:space="0"/>
              <w:right w:val="single" w:color="000000" w:sz="4" w:space="0"/>
            </w:tcBorders>
            <w:shd w:val="clear" w:color="auto" w:fill="auto"/>
            <w:vAlign w:val="center"/>
          </w:tcPr>
          <w:p>
            <w:pPr>
              <w:spacing w:line="400" w:lineRule="exact"/>
              <w:jc w:val="right"/>
              <w:rPr>
                <w:rFonts w:hint="default" w:ascii="Times New Roman" w:hAnsi="Times New Roman" w:cs="Times New Roman" w:eastAsiaTheme="minorEastAsia"/>
                <w:color w:val="000000"/>
                <w:sz w:val="22"/>
                <w:szCs w:val="22"/>
              </w:rPr>
            </w:pPr>
          </w:p>
        </w:tc>
        <w:tc>
          <w:tcPr>
            <w:tcW w:w="4950" w:type="dxa"/>
            <w:tcBorders>
              <w:top w:val="nil"/>
              <w:left w:val="nil"/>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十六、金融支出</w:t>
            </w:r>
          </w:p>
        </w:tc>
        <w:tc>
          <w:tcPr>
            <w:tcW w:w="800"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46</w:t>
            </w:r>
          </w:p>
        </w:tc>
        <w:tc>
          <w:tcPr>
            <w:tcW w:w="4419"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r>
      <w:tr>
        <w:tblPrEx>
          <w:tblCellMar>
            <w:top w:w="0" w:type="dxa"/>
            <w:left w:w="108" w:type="dxa"/>
            <w:bottom w:w="0" w:type="dxa"/>
            <w:right w:w="108" w:type="dxa"/>
          </w:tblCellMar>
        </w:tblPrEx>
        <w:trPr>
          <w:trHeight w:val="308" w:hRule="atLeast"/>
          <w:jc w:val="center"/>
        </w:trPr>
        <w:tc>
          <w:tcPr>
            <w:tcW w:w="4210" w:type="dxa"/>
            <w:tcBorders>
              <w:top w:val="nil"/>
              <w:left w:val="single" w:color="000000" w:sz="4" w:space="0"/>
              <w:bottom w:val="single" w:color="000000" w:sz="4" w:space="0"/>
              <w:right w:val="single" w:color="000000" w:sz="4" w:space="0"/>
            </w:tcBorders>
            <w:shd w:val="clear" w:color="auto" w:fill="auto"/>
            <w:vAlign w:val="center"/>
          </w:tcPr>
          <w:p>
            <w:pPr>
              <w:spacing w:line="400" w:lineRule="exact"/>
              <w:rPr>
                <w:rFonts w:hint="default" w:ascii="Times New Roman" w:hAnsi="Times New Roman" w:cs="Times New Roman"/>
                <w:b/>
                <w:bCs/>
                <w:color w:val="000000"/>
                <w:sz w:val="22"/>
                <w:szCs w:val="22"/>
              </w:rPr>
            </w:pPr>
          </w:p>
        </w:tc>
        <w:tc>
          <w:tcPr>
            <w:tcW w:w="838"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17</w:t>
            </w:r>
          </w:p>
        </w:tc>
        <w:tc>
          <w:tcPr>
            <w:tcW w:w="4583" w:type="dxa"/>
            <w:tcBorders>
              <w:top w:val="nil"/>
              <w:left w:val="nil"/>
              <w:bottom w:val="single" w:color="000000" w:sz="4" w:space="0"/>
              <w:right w:val="single" w:color="000000" w:sz="4" w:space="0"/>
            </w:tcBorders>
            <w:shd w:val="clear" w:color="auto" w:fill="auto"/>
            <w:vAlign w:val="center"/>
          </w:tcPr>
          <w:p>
            <w:pPr>
              <w:spacing w:line="400" w:lineRule="exact"/>
              <w:jc w:val="right"/>
              <w:rPr>
                <w:rFonts w:hint="default" w:ascii="Times New Roman" w:hAnsi="Times New Roman" w:cs="Times New Roman" w:eastAsiaTheme="minorEastAsia"/>
                <w:color w:val="000000"/>
                <w:sz w:val="22"/>
                <w:szCs w:val="22"/>
              </w:rPr>
            </w:pPr>
          </w:p>
        </w:tc>
        <w:tc>
          <w:tcPr>
            <w:tcW w:w="4950" w:type="dxa"/>
            <w:tcBorders>
              <w:top w:val="nil"/>
              <w:left w:val="nil"/>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十七、援助其他地区支出</w:t>
            </w:r>
          </w:p>
        </w:tc>
        <w:tc>
          <w:tcPr>
            <w:tcW w:w="800"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47</w:t>
            </w:r>
          </w:p>
        </w:tc>
        <w:tc>
          <w:tcPr>
            <w:tcW w:w="4419"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r>
      <w:tr>
        <w:tblPrEx>
          <w:tblCellMar>
            <w:top w:w="0" w:type="dxa"/>
            <w:left w:w="108" w:type="dxa"/>
            <w:bottom w:w="0" w:type="dxa"/>
            <w:right w:w="108" w:type="dxa"/>
          </w:tblCellMar>
        </w:tblPrEx>
        <w:trPr>
          <w:trHeight w:val="308" w:hRule="atLeast"/>
          <w:jc w:val="center"/>
        </w:trPr>
        <w:tc>
          <w:tcPr>
            <w:tcW w:w="4210" w:type="dxa"/>
            <w:tcBorders>
              <w:top w:val="nil"/>
              <w:left w:val="single" w:color="000000" w:sz="4" w:space="0"/>
              <w:bottom w:val="single" w:color="000000" w:sz="4" w:space="0"/>
              <w:right w:val="single" w:color="000000" w:sz="4" w:space="0"/>
            </w:tcBorders>
            <w:shd w:val="clear" w:color="auto" w:fill="auto"/>
            <w:vAlign w:val="center"/>
          </w:tcPr>
          <w:p>
            <w:pPr>
              <w:spacing w:line="400" w:lineRule="exact"/>
              <w:rPr>
                <w:rFonts w:hint="default" w:ascii="Times New Roman" w:hAnsi="Times New Roman" w:cs="Times New Roman"/>
                <w:b/>
                <w:bCs/>
                <w:color w:val="000000"/>
                <w:sz w:val="22"/>
                <w:szCs w:val="22"/>
              </w:rPr>
            </w:pPr>
          </w:p>
        </w:tc>
        <w:tc>
          <w:tcPr>
            <w:tcW w:w="838"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18</w:t>
            </w:r>
          </w:p>
        </w:tc>
        <w:tc>
          <w:tcPr>
            <w:tcW w:w="4583" w:type="dxa"/>
            <w:tcBorders>
              <w:top w:val="nil"/>
              <w:left w:val="nil"/>
              <w:bottom w:val="single" w:color="000000" w:sz="4" w:space="0"/>
              <w:right w:val="single" w:color="000000" w:sz="4" w:space="0"/>
            </w:tcBorders>
            <w:shd w:val="clear" w:color="auto" w:fill="auto"/>
            <w:vAlign w:val="center"/>
          </w:tcPr>
          <w:p>
            <w:pPr>
              <w:spacing w:line="400" w:lineRule="exact"/>
              <w:jc w:val="right"/>
              <w:rPr>
                <w:rFonts w:hint="default" w:ascii="Times New Roman" w:hAnsi="Times New Roman" w:cs="Times New Roman" w:eastAsiaTheme="minorEastAsia"/>
                <w:color w:val="000000"/>
                <w:sz w:val="22"/>
                <w:szCs w:val="22"/>
              </w:rPr>
            </w:pPr>
          </w:p>
        </w:tc>
        <w:tc>
          <w:tcPr>
            <w:tcW w:w="4950" w:type="dxa"/>
            <w:tcBorders>
              <w:top w:val="nil"/>
              <w:left w:val="nil"/>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十八、自然资源海洋气象等支出</w:t>
            </w:r>
          </w:p>
        </w:tc>
        <w:tc>
          <w:tcPr>
            <w:tcW w:w="800"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48</w:t>
            </w:r>
          </w:p>
        </w:tc>
        <w:tc>
          <w:tcPr>
            <w:tcW w:w="4419"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r>
      <w:tr>
        <w:tblPrEx>
          <w:tblCellMar>
            <w:top w:w="0" w:type="dxa"/>
            <w:left w:w="108" w:type="dxa"/>
            <w:bottom w:w="0" w:type="dxa"/>
            <w:right w:w="108" w:type="dxa"/>
          </w:tblCellMar>
        </w:tblPrEx>
        <w:trPr>
          <w:trHeight w:val="308" w:hRule="atLeast"/>
          <w:jc w:val="center"/>
        </w:trPr>
        <w:tc>
          <w:tcPr>
            <w:tcW w:w="4210" w:type="dxa"/>
            <w:tcBorders>
              <w:top w:val="nil"/>
              <w:left w:val="single" w:color="000000" w:sz="4" w:space="0"/>
              <w:bottom w:val="single" w:color="000000" w:sz="4" w:space="0"/>
              <w:right w:val="single" w:color="000000" w:sz="4" w:space="0"/>
            </w:tcBorders>
            <w:shd w:val="clear" w:color="auto" w:fill="auto"/>
            <w:vAlign w:val="center"/>
          </w:tcPr>
          <w:p>
            <w:pPr>
              <w:spacing w:line="400" w:lineRule="exact"/>
              <w:rPr>
                <w:rFonts w:hint="default" w:ascii="Times New Roman" w:hAnsi="Times New Roman" w:cs="Times New Roman"/>
                <w:b/>
                <w:bCs/>
                <w:color w:val="000000"/>
                <w:sz w:val="22"/>
                <w:szCs w:val="22"/>
              </w:rPr>
            </w:pPr>
          </w:p>
        </w:tc>
        <w:tc>
          <w:tcPr>
            <w:tcW w:w="838"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19</w:t>
            </w:r>
          </w:p>
        </w:tc>
        <w:tc>
          <w:tcPr>
            <w:tcW w:w="4583" w:type="dxa"/>
            <w:tcBorders>
              <w:top w:val="nil"/>
              <w:left w:val="nil"/>
              <w:bottom w:val="single" w:color="000000" w:sz="4" w:space="0"/>
              <w:right w:val="single" w:color="000000" w:sz="4" w:space="0"/>
            </w:tcBorders>
            <w:shd w:val="clear" w:color="auto" w:fill="auto"/>
            <w:vAlign w:val="center"/>
          </w:tcPr>
          <w:p>
            <w:pPr>
              <w:spacing w:line="400" w:lineRule="exact"/>
              <w:jc w:val="right"/>
              <w:rPr>
                <w:rFonts w:hint="default" w:ascii="Times New Roman" w:hAnsi="Times New Roman" w:cs="Times New Roman" w:eastAsiaTheme="minorEastAsia"/>
                <w:color w:val="000000"/>
                <w:sz w:val="22"/>
                <w:szCs w:val="22"/>
              </w:rPr>
            </w:pPr>
          </w:p>
        </w:tc>
        <w:tc>
          <w:tcPr>
            <w:tcW w:w="4950" w:type="dxa"/>
            <w:tcBorders>
              <w:top w:val="nil"/>
              <w:left w:val="nil"/>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十九、住房保障支出</w:t>
            </w:r>
          </w:p>
        </w:tc>
        <w:tc>
          <w:tcPr>
            <w:tcW w:w="800"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49</w:t>
            </w:r>
          </w:p>
        </w:tc>
        <w:tc>
          <w:tcPr>
            <w:tcW w:w="4419"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129.63 </w:t>
            </w:r>
          </w:p>
        </w:tc>
      </w:tr>
      <w:tr>
        <w:tblPrEx>
          <w:tblCellMar>
            <w:top w:w="0" w:type="dxa"/>
            <w:left w:w="108" w:type="dxa"/>
            <w:bottom w:w="0" w:type="dxa"/>
            <w:right w:w="108" w:type="dxa"/>
          </w:tblCellMar>
        </w:tblPrEx>
        <w:trPr>
          <w:trHeight w:val="308" w:hRule="atLeast"/>
          <w:jc w:val="center"/>
        </w:trPr>
        <w:tc>
          <w:tcPr>
            <w:tcW w:w="4210" w:type="dxa"/>
            <w:tcBorders>
              <w:top w:val="nil"/>
              <w:left w:val="single" w:color="000000" w:sz="4" w:space="0"/>
              <w:bottom w:val="single" w:color="000000" w:sz="4" w:space="0"/>
              <w:right w:val="single" w:color="000000" w:sz="4" w:space="0"/>
            </w:tcBorders>
            <w:shd w:val="clear" w:color="auto" w:fill="auto"/>
            <w:vAlign w:val="center"/>
          </w:tcPr>
          <w:p>
            <w:pPr>
              <w:spacing w:line="400" w:lineRule="exact"/>
              <w:rPr>
                <w:rFonts w:hint="default" w:ascii="Times New Roman" w:hAnsi="Times New Roman" w:cs="Times New Roman"/>
                <w:b/>
                <w:bCs/>
                <w:color w:val="000000"/>
                <w:sz w:val="22"/>
                <w:szCs w:val="22"/>
              </w:rPr>
            </w:pPr>
          </w:p>
        </w:tc>
        <w:tc>
          <w:tcPr>
            <w:tcW w:w="838"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20</w:t>
            </w:r>
          </w:p>
        </w:tc>
        <w:tc>
          <w:tcPr>
            <w:tcW w:w="4583" w:type="dxa"/>
            <w:tcBorders>
              <w:top w:val="nil"/>
              <w:left w:val="nil"/>
              <w:bottom w:val="single" w:color="000000" w:sz="4" w:space="0"/>
              <w:right w:val="single" w:color="000000" w:sz="4" w:space="0"/>
            </w:tcBorders>
            <w:shd w:val="clear" w:color="auto" w:fill="auto"/>
            <w:vAlign w:val="center"/>
          </w:tcPr>
          <w:p>
            <w:pPr>
              <w:spacing w:line="400" w:lineRule="exact"/>
              <w:jc w:val="right"/>
              <w:rPr>
                <w:rFonts w:hint="default" w:ascii="Times New Roman" w:hAnsi="Times New Roman" w:cs="Times New Roman" w:eastAsiaTheme="minorEastAsia"/>
                <w:color w:val="000000"/>
                <w:sz w:val="22"/>
                <w:szCs w:val="22"/>
              </w:rPr>
            </w:pPr>
          </w:p>
        </w:tc>
        <w:tc>
          <w:tcPr>
            <w:tcW w:w="4950" w:type="dxa"/>
            <w:tcBorders>
              <w:top w:val="nil"/>
              <w:left w:val="nil"/>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二十、粮油物资储备支出</w:t>
            </w:r>
          </w:p>
        </w:tc>
        <w:tc>
          <w:tcPr>
            <w:tcW w:w="800"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50</w:t>
            </w:r>
          </w:p>
        </w:tc>
        <w:tc>
          <w:tcPr>
            <w:tcW w:w="4419"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r>
      <w:tr>
        <w:tblPrEx>
          <w:tblCellMar>
            <w:top w:w="0" w:type="dxa"/>
            <w:left w:w="108" w:type="dxa"/>
            <w:bottom w:w="0" w:type="dxa"/>
            <w:right w:w="108" w:type="dxa"/>
          </w:tblCellMar>
        </w:tblPrEx>
        <w:trPr>
          <w:trHeight w:val="308" w:hRule="atLeast"/>
          <w:jc w:val="center"/>
        </w:trPr>
        <w:tc>
          <w:tcPr>
            <w:tcW w:w="4210" w:type="dxa"/>
            <w:tcBorders>
              <w:top w:val="nil"/>
              <w:left w:val="single" w:color="000000" w:sz="4" w:space="0"/>
              <w:bottom w:val="single" w:color="000000" w:sz="4" w:space="0"/>
              <w:right w:val="single" w:color="000000" w:sz="4" w:space="0"/>
            </w:tcBorders>
            <w:shd w:val="clear" w:color="auto" w:fill="auto"/>
            <w:vAlign w:val="center"/>
          </w:tcPr>
          <w:p>
            <w:pPr>
              <w:spacing w:line="400" w:lineRule="exact"/>
              <w:rPr>
                <w:rFonts w:hint="default" w:ascii="Times New Roman" w:hAnsi="Times New Roman" w:cs="Times New Roman"/>
                <w:b/>
                <w:bCs/>
                <w:color w:val="000000"/>
                <w:sz w:val="22"/>
                <w:szCs w:val="22"/>
              </w:rPr>
            </w:pPr>
          </w:p>
        </w:tc>
        <w:tc>
          <w:tcPr>
            <w:tcW w:w="838"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21</w:t>
            </w:r>
          </w:p>
        </w:tc>
        <w:tc>
          <w:tcPr>
            <w:tcW w:w="4583" w:type="dxa"/>
            <w:tcBorders>
              <w:top w:val="nil"/>
              <w:left w:val="nil"/>
              <w:bottom w:val="single" w:color="000000" w:sz="4" w:space="0"/>
              <w:right w:val="single" w:color="000000" w:sz="4" w:space="0"/>
            </w:tcBorders>
            <w:shd w:val="clear" w:color="auto" w:fill="auto"/>
            <w:vAlign w:val="center"/>
          </w:tcPr>
          <w:p>
            <w:pPr>
              <w:spacing w:line="400" w:lineRule="exact"/>
              <w:jc w:val="right"/>
              <w:rPr>
                <w:rFonts w:hint="default" w:ascii="Times New Roman" w:hAnsi="Times New Roman" w:cs="Times New Roman" w:eastAsiaTheme="minorEastAsia"/>
                <w:color w:val="000000"/>
                <w:sz w:val="22"/>
                <w:szCs w:val="22"/>
              </w:rPr>
            </w:pPr>
          </w:p>
        </w:tc>
        <w:tc>
          <w:tcPr>
            <w:tcW w:w="4950" w:type="dxa"/>
            <w:tcBorders>
              <w:top w:val="nil"/>
              <w:left w:val="nil"/>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二十一、国有资本经营预算支出</w:t>
            </w:r>
          </w:p>
        </w:tc>
        <w:tc>
          <w:tcPr>
            <w:tcW w:w="800"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51</w:t>
            </w:r>
          </w:p>
        </w:tc>
        <w:tc>
          <w:tcPr>
            <w:tcW w:w="4419"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r>
      <w:tr>
        <w:tblPrEx>
          <w:tblCellMar>
            <w:top w:w="0" w:type="dxa"/>
            <w:left w:w="108" w:type="dxa"/>
            <w:bottom w:w="0" w:type="dxa"/>
            <w:right w:w="108" w:type="dxa"/>
          </w:tblCellMar>
        </w:tblPrEx>
        <w:trPr>
          <w:trHeight w:val="308" w:hRule="atLeast"/>
          <w:jc w:val="center"/>
        </w:trPr>
        <w:tc>
          <w:tcPr>
            <w:tcW w:w="4210" w:type="dxa"/>
            <w:tcBorders>
              <w:top w:val="nil"/>
              <w:left w:val="single" w:color="000000" w:sz="4" w:space="0"/>
              <w:bottom w:val="single" w:color="000000" w:sz="4" w:space="0"/>
              <w:right w:val="single" w:color="000000" w:sz="4" w:space="0"/>
            </w:tcBorders>
            <w:shd w:val="clear" w:color="auto" w:fill="auto"/>
            <w:vAlign w:val="center"/>
          </w:tcPr>
          <w:p>
            <w:pPr>
              <w:spacing w:line="400" w:lineRule="exact"/>
              <w:rPr>
                <w:rFonts w:hint="default" w:ascii="Times New Roman" w:hAnsi="Times New Roman" w:cs="Times New Roman"/>
                <w:b/>
                <w:bCs/>
                <w:color w:val="000000"/>
                <w:sz w:val="22"/>
                <w:szCs w:val="22"/>
              </w:rPr>
            </w:pPr>
          </w:p>
        </w:tc>
        <w:tc>
          <w:tcPr>
            <w:tcW w:w="838"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22</w:t>
            </w:r>
          </w:p>
        </w:tc>
        <w:tc>
          <w:tcPr>
            <w:tcW w:w="4583" w:type="dxa"/>
            <w:tcBorders>
              <w:top w:val="nil"/>
              <w:left w:val="nil"/>
              <w:bottom w:val="single" w:color="000000" w:sz="4" w:space="0"/>
              <w:right w:val="single" w:color="000000" w:sz="4" w:space="0"/>
            </w:tcBorders>
            <w:shd w:val="clear" w:color="auto" w:fill="auto"/>
            <w:vAlign w:val="center"/>
          </w:tcPr>
          <w:p>
            <w:pPr>
              <w:spacing w:line="400" w:lineRule="exact"/>
              <w:jc w:val="right"/>
              <w:rPr>
                <w:rFonts w:hint="default" w:ascii="Times New Roman" w:hAnsi="Times New Roman" w:cs="Times New Roman" w:eastAsiaTheme="minorEastAsia"/>
                <w:color w:val="000000"/>
                <w:sz w:val="22"/>
                <w:szCs w:val="22"/>
              </w:rPr>
            </w:pPr>
          </w:p>
        </w:tc>
        <w:tc>
          <w:tcPr>
            <w:tcW w:w="4950" w:type="dxa"/>
            <w:tcBorders>
              <w:top w:val="nil"/>
              <w:left w:val="nil"/>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二十二、灾害防治及应急管理支出</w:t>
            </w:r>
          </w:p>
        </w:tc>
        <w:tc>
          <w:tcPr>
            <w:tcW w:w="800"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52</w:t>
            </w:r>
          </w:p>
        </w:tc>
        <w:tc>
          <w:tcPr>
            <w:tcW w:w="4419"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r>
      <w:tr>
        <w:tblPrEx>
          <w:tblCellMar>
            <w:top w:w="0" w:type="dxa"/>
            <w:left w:w="108" w:type="dxa"/>
            <w:bottom w:w="0" w:type="dxa"/>
            <w:right w:w="108" w:type="dxa"/>
          </w:tblCellMar>
        </w:tblPrEx>
        <w:trPr>
          <w:trHeight w:val="308" w:hRule="atLeast"/>
          <w:jc w:val="center"/>
        </w:trPr>
        <w:tc>
          <w:tcPr>
            <w:tcW w:w="4210" w:type="dxa"/>
            <w:tcBorders>
              <w:top w:val="nil"/>
              <w:left w:val="single" w:color="000000" w:sz="4" w:space="0"/>
              <w:bottom w:val="single" w:color="000000" w:sz="4" w:space="0"/>
              <w:right w:val="single" w:color="000000" w:sz="4" w:space="0"/>
            </w:tcBorders>
            <w:shd w:val="clear" w:color="auto" w:fill="auto"/>
            <w:vAlign w:val="center"/>
          </w:tcPr>
          <w:p>
            <w:pPr>
              <w:spacing w:line="400" w:lineRule="exact"/>
              <w:rPr>
                <w:rFonts w:hint="default" w:ascii="Times New Roman" w:hAnsi="Times New Roman" w:cs="Times New Roman"/>
                <w:b/>
                <w:bCs/>
                <w:color w:val="000000"/>
                <w:sz w:val="22"/>
                <w:szCs w:val="22"/>
              </w:rPr>
            </w:pPr>
          </w:p>
        </w:tc>
        <w:tc>
          <w:tcPr>
            <w:tcW w:w="838"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23</w:t>
            </w:r>
          </w:p>
        </w:tc>
        <w:tc>
          <w:tcPr>
            <w:tcW w:w="4583" w:type="dxa"/>
            <w:tcBorders>
              <w:top w:val="nil"/>
              <w:left w:val="nil"/>
              <w:bottom w:val="single" w:color="000000" w:sz="4" w:space="0"/>
              <w:right w:val="single" w:color="000000" w:sz="4" w:space="0"/>
            </w:tcBorders>
            <w:shd w:val="clear" w:color="auto" w:fill="auto"/>
            <w:vAlign w:val="center"/>
          </w:tcPr>
          <w:p>
            <w:pPr>
              <w:spacing w:line="400" w:lineRule="exact"/>
              <w:jc w:val="right"/>
              <w:rPr>
                <w:rFonts w:hint="default" w:ascii="Times New Roman" w:hAnsi="Times New Roman" w:cs="Times New Roman" w:eastAsiaTheme="minorEastAsia"/>
                <w:color w:val="000000"/>
                <w:sz w:val="22"/>
                <w:szCs w:val="22"/>
              </w:rPr>
            </w:pPr>
          </w:p>
        </w:tc>
        <w:tc>
          <w:tcPr>
            <w:tcW w:w="4950" w:type="dxa"/>
            <w:tcBorders>
              <w:top w:val="nil"/>
              <w:left w:val="nil"/>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二十三、其他支出</w:t>
            </w:r>
          </w:p>
        </w:tc>
        <w:tc>
          <w:tcPr>
            <w:tcW w:w="800"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53</w:t>
            </w:r>
          </w:p>
        </w:tc>
        <w:tc>
          <w:tcPr>
            <w:tcW w:w="4419"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4.00 </w:t>
            </w:r>
          </w:p>
        </w:tc>
      </w:tr>
      <w:tr>
        <w:tblPrEx>
          <w:tblCellMar>
            <w:top w:w="0" w:type="dxa"/>
            <w:left w:w="108" w:type="dxa"/>
            <w:bottom w:w="0" w:type="dxa"/>
            <w:right w:w="108" w:type="dxa"/>
          </w:tblCellMar>
        </w:tblPrEx>
        <w:trPr>
          <w:trHeight w:val="90" w:hRule="atLeast"/>
          <w:jc w:val="center"/>
        </w:trPr>
        <w:tc>
          <w:tcPr>
            <w:tcW w:w="4210" w:type="dxa"/>
            <w:tcBorders>
              <w:top w:val="nil"/>
              <w:left w:val="single" w:color="000000" w:sz="4" w:space="0"/>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b/>
                <w:bCs/>
                <w:color w:val="000000"/>
                <w:sz w:val="22"/>
                <w:szCs w:val="22"/>
              </w:rPr>
            </w:pPr>
          </w:p>
        </w:tc>
        <w:tc>
          <w:tcPr>
            <w:tcW w:w="838"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24</w:t>
            </w:r>
          </w:p>
        </w:tc>
        <w:tc>
          <w:tcPr>
            <w:tcW w:w="4583" w:type="dxa"/>
            <w:tcBorders>
              <w:top w:val="nil"/>
              <w:left w:val="nil"/>
              <w:bottom w:val="single" w:color="000000" w:sz="4" w:space="0"/>
              <w:right w:val="single" w:color="000000" w:sz="4" w:space="0"/>
            </w:tcBorders>
            <w:shd w:val="clear" w:color="auto" w:fill="auto"/>
            <w:vAlign w:val="center"/>
          </w:tcPr>
          <w:p>
            <w:pPr>
              <w:spacing w:line="400" w:lineRule="exact"/>
              <w:jc w:val="right"/>
              <w:rPr>
                <w:rFonts w:hint="default" w:ascii="Times New Roman" w:hAnsi="Times New Roman" w:cs="Times New Roman" w:eastAsiaTheme="minorEastAsia"/>
                <w:color w:val="000000"/>
                <w:sz w:val="22"/>
                <w:szCs w:val="22"/>
              </w:rPr>
            </w:pPr>
          </w:p>
        </w:tc>
        <w:tc>
          <w:tcPr>
            <w:tcW w:w="4950" w:type="dxa"/>
            <w:tcBorders>
              <w:top w:val="nil"/>
              <w:left w:val="nil"/>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二十四、债务还本支出</w:t>
            </w:r>
          </w:p>
        </w:tc>
        <w:tc>
          <w:tcPr>
            <w:tcW w:w="800"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54</w:t>
            </w:r>
          </w:p>
        </w:tc>
        <w:tc>
          <w:tcPr>
            <w:tcW w:w="4419"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r>
      <w:tr>
        <w:tblPrEx>
          <w:tblCellMar>
            <w:top w:w="0" w:type="dxa"/>
            <w:left w:w="108" w:type="dxa"/>
            <w:bottom w:w="0" w:type="dxa"/>
            <w:right w:w="108" w:type="dxa"/>
          </w:tblCellMar>
        </w:tblPrEx>
        <w:trPr>
          <w:trHeight w:val="308" w:hRule="atLeast"/>
          <w:jc w:val="center"/>
        </w:trPr>
        <w:tc>
          <w:tcPr>
            <w:tcW w:w="4210" w:type="dxa"/>
            <w:tcBorders>
              <w:top w:val="nil"/>
              <w:left w:val="single" w:color="000000" w:sz="4" w:space="0"/>
              <w:bottom w:val="single" w:color="000000" w:sz="4" w:space="0"/>
              <w:right w:val="single" w:color="000000" w:sz="4" w:space="0"/>
            </w:tcBorders>
            <w:shd w:val="clear" w:color="auto" w:fill="auto"/>
            <w:vAlign w:val="center"/>
          </w:tcPr>
          <w:p>
            <w:pPr>
              <w:spacing w:line="400" w:lineRule="exact"/>
              <w:rPr>
                <w:rFonts w:hint="default" w:ascii="Times New Roman" w:hAnsi="Times New Roman" w:cs="Times New Roman"/>
                <w:b/>
                <w:bCs/>
                <w:color w:val="000000"/>
                <w:sz w:val="22"/>
                <w:szCs w:val="22"/>
              </w:rPr>
            </w:pPr>
          </w:p>
        </w:tc>
        <w:tc>
          <w:tcPr>
            <w:tcW w:w="838"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25</w:t>
            </w:r>
          </w:p>
        </w:tc>
        <w:tc>
          <w:tcPr>
            <w:tcW w:w="4583" w:type="dxa"/>
            <w:tcBorders>
              <w:top w:val="nil"/>
              <w:left w:val="nil"/>
              <w:bottom w:val="single" w:color="000000" w:sz="4" w:space="0"/>
              <w:right w:val="single" w:color="000000" w:sz="4" w:space="0"/>
            </w:tcBorders>
            <w:shd w:val="clear" w:color="auto" w:fill="auto"/>
            <w:vAlign w:val="center"/>
          </w:tcPr>
          <w:p>
            <w:pPr>
              <w:spacing w:line="400" w:lineRule="exact"/>
              <w:jc w:val="right"/>
              <w:rPr>
                <w:rFonts w:hint="default" w:ascii="Times New Roman" w:hAnsi="Times New Roman" w:cs="Times New Roman" w:eastAsiaTheme="minorEastAsia"/>
                <w:color w:val="000000"/>
                <w:sz w:val="22"/>
                <w:szCs w:val="22"/>
              </w:rPr>
            </w:pPr>
          </w:p>
        </w:tc>
        <w:tc>
          <w:tcPr>
            <w:tcW w:w="4950" w:type="dxa"/>
            <w:tcBorders>
              <w:top w:val="nil"/>
              <w:left w:val="nil"/>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二十五、债务付息支出</w:t>
            </w:r>
          </w:p>
        </w:tc>
        <w:tc>
          <w:tcPr>
            <w:tcW w:w="800"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55</w:t>
            </w:r>
          </w:p>
        </w:tc>
        <w:tc>
          <w:tcPr>
            <w:tcW w:w="4419"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r>
      <w:tr>
        <w:tblPrEx>
          <w:tblCellMar>
            <w:top w:w="0" w:type="dxa"/>
            <w:left w:w="108" w:type="dxa"/>
            <w:bottom w:w="0" w:type="dxa"/>
            <w:right w:w="108" w:type="dxa"/>
          </w:tblCellMar>
        </w:tblPrEx>
        <w:trPr>
          <w:trHeight w:val="308" w:hRule="atLeast"/>
          <w:jc w:val="center"/>
        </w:trPr>
        <w:tc>
          <w:tcPr>
            <w:tcW w:w="4210" w:type="dxa"/>
            <w:tcBorders>
              <w:top w:val="nil"/>
              <w:left w:val="single" w:color="000000" w:sz="4" w:space="0"/>
              <w:bottom w:val="single" w:color="000000" w:sz="4" w:space="0"/>
              <w:right w:val="single" w:color="000000" w:sz="4" w:space="0"/>
            </w:tcBorders>
            <w:shd w:val="clear" w:color="auto" w:fill="auto"/>
            <w:vAlign w:val="center"/>
          </w:tcPr>
          <w:p>
            <w:pPr>
              <w:spacing w:line="400" w:lineRule="exact"/>
              <w:rPr>
                <w:rFonts w:hint="default" w:ascii="Times New Roman" w:hAnsi="Times New Roman" w:cs="Times New Roman"/>
                <w:b/>
                <w:bCs/>
                <w:color w:val="000000"/>
                <w:sz w:val="22"/>
                <w:szCs w:val="22"/>
              </w:rPr>
            </w:pPr>
          </w:p>
        </w:tc>
        <w:tc>
          <w:tcPr>
            <w:tcW w:w="838"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26</w:t>
            </w:r>
          </w:p>
        </w:tc>
        <w:tc>
          <w:tcPr>
            <w:tcW w:w="4583" w:type="dxa"/>
            <w:tcBorders>
              <w:top w:val="nil"/>
              <w:left w:val="nil"/>
              <w:bottom w:val="single" w:color="000000" w:sz="4" w:space="0"/>
              <w:right w:val="single" w:color="000000" w:sz="4" w:space="0"/>
            </w:tcBorders>
            <w:shd w:val="clear" w:color="auto" w:fill="auto"/>
            <w:vAlign w:val="center"/>
          </w:tcPr>
          <w:p>
            <w:pPr>
              <w:spacing w:line="400" w:lineRule="exact"/>
              <w:jc w:val="right"/>
              <w:rPr>
                <w:rFonts w:hint="default" w:ascii="Times New Roman" w:hAnsi="Times New Roman" w:cs="Times New Roman" w:eastAsiaTheme="minorEastAsia"/>
                <w:color w:val="000000"/>
                <w:sz w:val="22"/>
                <w:szCs w:val="22"/>
              </w:rPr>
            </w:pPr>
          </w:p>
        </w:tc>
        <w:tc>
          <w:tcPr>
            <w:tcW w:w="4950" w:type="dxa"/>
            <w:tcBorders>
              <w:top w:val="nil"/>
              <w:left w:val="nil"/>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二十六、抗疫特别国债安排的支出</w:t>
            </w:r>
          </w:p>
        </w:tc>
        <w:tc>
          <w:tcPr>
            <w:tcW w:w="800"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56</w:t>
            </w:r>
          </w:p>
        </w:tc>
        <w:tc>
          <w:tcPr>
            <w:tcW w:w="4419"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r>
      <w:tr>
        <w:tblPrEx>
          <w:tblCellMar>
            <w:top w:w="0" w:type="dxa"/>
            <w:left w:w="108" w:type="dxa"/>
            <w:bottom w:w="0" w:type="dxa"/>
            <w:right w:w="108" w:type="dxa"/>
          </w:tblCellMar>
        </w:tblPrEx>
        <w:trPr>
          <w:trHeight w:val="308" w:hRule="atLeast"/>
          <w:jc w:val="center"/>
        </w:trPr>
        <w:tc>
          <w:tcPr>
            <w:tcW w:w="4210" w:type="dxa"/>
            <w:tcBorders>
              <w:top w:val="nil"/>
              <w:left w:val="single" w:color="000000" w:sz="4" w:space="0"/>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本年收入合计</w:t>
            </w:r>
          </w:p>
        </w:tc>
        <w:tc>
          <w:tcPr>
            <w:tcW w:w="838"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27</w:t>
            </w:r>
          </w:p>
        </w:tc>
        <w:tc>
          <w:tcPr>
            <w:tcW w:w="4583" w:type="dxa"/>
            <w:tcBorders>
              <w:top w:val="nil"/>
              <w:left w:val="nil"/>
              <w:bottom w:val="single" w:color="000000" w:sz="4" w:space="0"/>
              <w:right w:val="single" w:color="000000" w:sz="4" w:space="0"/>
            </w:tcBorders>
            <w:shd w:val="clear" w:color="auto" w:fill="auto"/>
            <w:vAlign w:val="center"/>
          </w:tcPr>
          <w:p>
            <w:pPr>
              <w:spacing w:line="40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eastAsiaTheme="minorEastAsia"/>
                <w:color w:val="000000"/>
                <w:sz w:val="22"/>
                <w:szCs w:val="22"/>
              </w:rPr>
              <w:t xml:space="preserve">4129.97 </w:t>
            </w:r>
          </w:p>
        </w:tc>
        <w:tc>
          <w:tcPr>
            <w:tcW w:w="4950"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本年支出合计</w:t>
            </w:r>
          </w:p>
        </w:tc>
        <w:tc>
          <w:tcPr>
            <w:tcW w:w="800"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57</w:t>
            </w:r>
          </w:p>
        </w:tc>
        <w:tc>
          <w:tcPr>
            <w:tcW w:w="4419"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4129.97 </w:t>
            </w:r>
          </w:p>
        </w:tc>
      </w:tr>
      <w:tr>
        <w:tblPrEx>
          <w:tblCellMar>
            <w:top w:w="0" w:type="dxa"/>
            <w:left w:w="108" w:type="dxa"/>
            <w:bottom w:w="0" w:type="dxa"/>
            <w:right w:w="108" w:type="dxa"/>
          </w:tblCellMar>
        </w:tblPrEx>
        <w:trPr>
          <w:trHeight w:val="308" w:hRule="atLeast"/>
          <w:jc w:val="center"/>
        </w:trPr>
        <w:tc>
          <w:tcPr>
            <w:tcW w:w="4210" w:type="dxa"/>
            <w:tcBorders>
              <w:top w:val="nil"/>
              <w:left w:val="single" w:color="000000" w:sz="4" w:space="0"/>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使用非财政拨款结余（含专用结余）</w:t>
            </w:r>
          </w:p>
        </w:tc>
        <w:tc>
          <w:tcPr>
            <w:tcW w:w="838"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28</w:t>
            </w:r>
          </w:p>
        </w:tc>
        <w:tc>
          <w:tcPr>
            <w:tcW w:w="4583" w:type="dxa"/>
            <w:tcBorders>
              <w:top w:val="nil"/>
              <w:left w:val="nil"/>
              <w:bottom w:val="single" w:color="000000" w:sz="4" w:space="0"/>
              <w:right w:val="single" w:color="000000" w:sz="4" w:space="0"/>
            </w:tcBorders>
            <w:shd w:val="clear" w:color="auto" w:fill="auto"/>
            <w:vAlign w:val="center"/>
          </w:tcPr>
          <w:p>
            <w:pPr>
              <w:spacing w:line="40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eastAsiaTheme="minorEastAsia"/>
                <w:color w:val="000000"/>
                <w:sz w:val="22"/>
                <w:szCs w:val="22"/>
              </w:rPr>
              <w:t xml:space="preserve"> </w:t>
            </w:r>
          </w:p>
        </w:tc>
        <w:tc>
          <w:tcPr>
            <w:tcW w:w="4950" w:type="dxa"/>
            <w:tcBorders>
              <w:top w:val="nil"/>
              <w:left w:val="nil"/>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结余分配</w:t>
            </w:r>
          </w:p>
        </w:tc>
        <w:tc>
          <w:tcPr>
            <w:tcW w:w="800"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58</w:t>
            </w:r>
          </w:p>
        </w:tc>
        <w:tc>
          <w:tcPr>
            <w:tcW w:w="4419" w:type="dxa"/>
            <w:tcBorders>
              <w:top w:val="nil"/>
              <w:left w:val="nil"/>
              <w:bottom w:val="single" w:color="auto"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r>
      <w:tr>
        <w:tblPrEx>
          <w:tblCellMar>
            <w:top w:w="0" w:type="dxa"/>
            <w:left w:w="108" w:type="dxa"/>
            <w:bottom w:w="0" w:type="dxa"/>
            <w:right w:w="108" w:type="dxa"/>
          </w:tblCellMar>
        </w:tblPrEx>
        <w:trPr>
          <w:trHeight w:val="308" w:hRule="atLeast"/>
          <w:jc w:val="center"/>
        </w:trPr>
        <w:tc>
          <w:tcPr>
            <w:tcW w:w="4210" w:type="dxa"/>
            <w:tcBorders>
              <w:top w:val="nil"/>
              <w:left w:val="single" w:color="000000" w:sz="4" w:space="0"/>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年初结转和结余</w:t>
            </w:r>
          </w:p>
        </w:tc>
        <w:tc>
          <w:tcPr>
            <w:tcW w:w="838"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29</w:t>
            </w:r>
          </w:p>
        </w:tc>
        <w:tc>
          <w:tcPr>
            <w:tcW w:w="4583" w:type="dxa"/>
            <w:tcBorders>
              <w:top w:val="nil"/>
              <w:left w:val="nil"/>
              <w:bottom w:val="single" w:color="000000" w:sz="4" w:space="0"/>
              <w:right w:val="single" w:color="000000" w:sz="4" w:space="0"/>
            </w:tcBorders>
            <w:shd w:val="clear" w:color="auto" w:fill="auto"/>
            <w:vAlign w:val="center"/>
          </w:tcPr>
          <w:p>
            <w:pPr>
              <w:spacing w:line="40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eastAsiaTheme="minorEastAsia"/>
                <w:color w:val="000000"/>
                <w:sz w:val="22"/>
                <w:szCs w:val="22"/>
              </w:rPr>
              <w:t xml:space="preserve"> </w:t>
            </w:r>
          </w:p>
        </w:tc>
        <w:tc>
          <w:tcPr>
            <w:tcW w:w="4950" w:type="dxa"/>
            <w:tcBorders>
              <w:top w:val="nil"/>
              <w:left w:val="nil"/>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年末结转和结余</w:t>
            </w:r>
          </w:p>
        </w:tc>
        <w:tc>
          <w:tcPr>
            <w:tcW w:w="800" w:type="dxa"/>
            <w:tcBorders>
              <w:top w:val="nil"/>
              <w:left w:val="nil"/>
              <w:bottom w:val="single" w:color="000000" w:sz="4" w:space="0"/>
              <w:right w:val="single" w:color="auto"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59</w:t>
            </w:r>
          </w:p>
        </w:tc>
        <w:tc>
          <w:tcPr>
            <w:tcW w:w="4419"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r>
      <w:tr>
        <w:tblPrEx>
          <w:tblCellMar>
            <w:top w:w="0" w:type="dxa"/>
            <w:left w:w="108" w:type="dxa"/>
            <w:bottom w:w="0" w:type="dxa"/>
            <w:right w:w="108" w:type="dxa"/>
          </w:tblCellMar>
        </w:tblPrEx>
        <w:trPr>
          <w:trHeight w:val="308" w:hRule="atLeast"/>
          <w:jc w:val="center"/>
        </w:trPr>
        <w:tc>
          <w:tcPr>
            <w:tcW w:w="4210" w:type="dxa"/>
            <w:tcBorders>
              <w:top w:val="nil"/>
              <w:left w:val="single" w:color="000000" w:sz="4" w:space="0"/>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总计</w:t>
            </w:r>
          </w:p>
        </w:tc>
        <w:tc>
          <w:tcPr>
            <w:tcW w:w="838" w:type="dxa"/>
            <w:tcBorders>
              <w:top w:val="nil"/>
              <w:left w:val="nil"/>
              <w:bottom w:val="single" w:color="000000" w:sz="4" w:space="0"/>
              <w:right w:val="nil"/>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30</w:t>
            </w:r>
          </w:p>
        </w:tc>
        <w:tc>
          <w:tcPr>
            <w:tcW w:w="458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0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eastAsiaTheme="minorEastAsia"/>
                <w:color w:val="000000"/>
                <w:sz w:val="22"/>
                <w:szCs w:val="22"/>
              </w:rPr>
              <w:t xml:space="preserve">4129.97 </w:t>
            </w:r>
          </w:p>
        </w:tc>
        <w:tc>
          <w:tcPr>
            <w:tcW w:w="4950"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总计</w:t>
            </w:r>
          </w:p>
        </w:tc>
        <w:tc>
          <w:tcPr>
            <w:tcW w:w="800" w:type="dxa"/>
            <w:tcBorders>
              <w:top w:val="nil"/>
              <w:left w:val="nil"/>
              <w:bottom w:val="single" w:color="000000" w:sz="4" w:space="0"/>
              <w:right w:val="single" w:color="auto"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60</w:t>
            </w:r>
          </w:p>
        </w:tc>
        <w:tc>
          <w:tcPr>
            <w:tcW w:w="4419"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4129.97 </w:t>
            </w:r>
          </w:p>
        </w:tc>
      </w:tr>
    </w:tbl>
    <w:p>
      <w:pPr>
        <w:pStyle w:val="6"/>
        <w:shd w:val="clear" w:color="auto" w:fill="FFFFFF"/>
        <w:spacing w:before="0" w:beforeAutospacing="0" w:after="0" w:afterAutospacing="0" w:line="240" w:lineRule="atLeast"/>
        <w:ind w:left="840" w:firstLine="420"/>
        <w:rPr>
          <w:rStyle w:val="9"/>
          <w:rFonts w:hint="default" w:ascii="Times New Roman" w:hAnsi="Times New Roman" w:eastAsia="黑体" w:cs="Times New Roman"/>
          <w:b w:val="0"/>
          <w:bCs/>
          <w:sz w:val="18"/>
          <w:szCs w:val="18"/>
          <w:shd w:val="clear" w:color="auto" w:fill="FFFFFF"/>
        </w:rPr>
      </w:pPr>
      <w:r>
        <w:rPr>
          <w:rStyle w:val="9"/>
          <w:rFonts w:hint="default" w:ascii="Times New Roman" w:hAnsi="Times New Roman" w:eastAsia="黑体" w:cs="Times New Roman"/>
          <w:b w:val="0"/>
          <w:bCs/>
          <w:sz w:val="18"/>
          <w:szCs w:val="18"/>
          <w:shd w:val="clear" w:color="auto" w:fill="FFFFFF"/>
        </w:rPr>
        <w:t>备注：本表反映单位本年度的总收支和年末结转结余情况。本单位无相关数据，故本表为空。</w:t>
      </w:r>
      <w:r>
        <w:rPr>
          <w:rStyle w:val="9"/>
          <w:rFonts w:hint="default" w:ascii="Times New Roman" w:hAnsi="Times New Roman" w:eastAsia="黑体" w:cs="Times New Roman"/>
          <w:b w:val="0"/>
          <w:bCs/>
          <w:sz w:val="18"/>
          <w:szCs w:val="18"/>
          <w:shd w:val="clear" w:color="auto" w:fill="FFFFFF"/>
        </w:rPr>
        <w:br w:type="textWrapping"/>
      </w:r>
      <w:r>
        <w:rPr>
          <w:rFonts w:hint="default" w:ascii="Times New Roman" w:hAnsi="Times New Roman" w:cs="Times New Roman"/>
          <w:sz w:val="20"/>
          <w:szCs w:val="20"/>
        </w:rPr>
        <w:tab/>
      </w:r>
    </w:p>
    <w:p>
      <w:pPr>
        <w:pStyle w:val="10"/>
        <w:autoSpaceDE w:val="0"/>
        <w:ind w:firstLine="0" w:firstLineChars="0"/>
        <w:rPr>
          <w:rFonts w:hint="default" w:ascii="Times New Roman" w:hAnsi="Times New Roman" w:cs="Times New Roman"/>
          <w:sz w:val="21"/>
          <w:szCs w:val="21"/>
        </w:rPr>
        <w:sectPr>
          <w:headerReference r:id="rId4" w:type="default"/>
          <w:footerReference r:id="rId5" w:type="default"/>
          <w:pgSz w:w="23811" w:h="16838" w:orient="landscape"/>
          <w:pgMar w:top="567" w:right="454" w:bottom="567" w:left="1037" w:header="0" w:footer="283" w:gutter="0"/>
          <w:pgNumType w:fmt="numberInDash"/>
          <w:cols w:space="720" w:num="1"/>
          <w:docGrid w:type="lines" w:linePitch="312" w:charSpace="0"/>
        </w:sectPr>
      </w:pPr>
    </w:p>
    <w:tbl>
      <w:tblPr>
        <w:tblStyle w:val="7"/>
        <w:tblW w:w="21137" w:type="dxa"/>
        <w:tblInd w:w="93" w:type="dxa"/>
        <w:tblLayout w:type="fixed"/>
        <w:tblCellMar>
          <w:top w:w="0" w:type="dxa"/>
          <w:left w:w="108" w:type="dxa"/>
          <w:bottom w:w="0" w:type="dxa"/>
          <w:right w:w="108" w:type="dxa"/>
        </w:tblCellMar>
      </w:tblPr>
      <w:tblGrid>
        <w:gridCol w:w="575"/>
        <w:gridCol w:w="574"/>
        <w:gridCol w:w="544"/>
        <w:gridCol w:w="3524"/>
        <w:gridCol w:w="2030"/>
        <w:gridCol w:w="2670"/>
        <w:gridCol w:w="2490"/>
        <w:gridCol w:w="2505"/>
        <w:gridCol w:w="2220"/>
        <w:gridCol w:w="2115"/>
        <w:gridCol w:w="1890"/>
      </w:tblGrid>
      <w:tr>
        <w:tblPrEx>
          <w:tblCellMar>
            <w:top w:w="0" w:type="dxa"/>
            <w:left w:w="108" w:type="dxa"/>
            <w:bottom w:w="0" w:type="dxa"/>
            <w:right w:w="108" w:type="dxa"/>
          </w:tblCellMar>
        </w:tblPrEx>
        <w:trPr>
          <w:trHeight w:val="622" w:hRule="atLeast"/>
        </w:trPr>
        <w:tc>
          <w:tcPr>
            <w:tcW w:w="21137" w:type="dxa"/>
            <w:gridSpan w:val="11"/>
            <w:tcBorders>
              <w:top w:val="nil"/>
              <w:left w:val="nil"/>
              <w:bottom w:val="nil"/>
              <w:right w:val="nil"/>
            </w:tcBorders>
            <w:shd w:val="clear" w:color="auto" w:fill="auto"/>
            <w:vAlign w:val="bottom"/>
          </w:tcPr>
          <w:p>
            <w:pPr>
              <w:jc w:val="center"/>
              <w:textAlignment w:val="bottom"/>
              <w:rPr>
                <w:rFonts w:hint="default" w:ascii="Times New Roman" w:hAnsi="Times New Roman" w:cs="Times New Roman"/>
                <w:color w:val="000000"/>
                <w:sz w:val="32"/>
                <w:szCs w:val="32"/>
              </w:rPr>
            </w:pPr>
            <w:r>
              <w:rPr>
                <w:rFonts w:hint="default" w:ascii="Times New Roman" w:hAnsi="Times New Roman" w:cs="Times New Roman"/>
                <w:b/>
                <w:bCs/>
                <w:color w:val="000000"/>
                <w:sz w:val="32"/>
                <w:szCs w:val="32"/>
              </w:rPr>
              <w:t>收入决算表</w:t>
            </w:r>
          </w:p>
        </w:tc>
      </w:tr>
      <w:tr>
        <w:tblPrEx>
          <w:tblCellMar>
            <w:top w:w="0" w:type="dxa"/>
            <w:left w:w="108" w:type="dxa"/>
            <w:bottom w:w="0" w:type="dxa"/>
            <w:right w:w="108" w:type="dxa"/>
          </w:tblCellMar>
        </w:tblPrEx>
        <w:trPr>
          <w:trHeight w:val="622" w:hRule="atLeast"/>
        </w:trPr>
        <w:tc>
          <w:tcPr>
            <w:tcW w:w="19247" w:type="dxa"/>
            <w:gridSpan w:val="10"/>
            <w:tcBorders>
              <w:top w:val="nil"/>
              <w:left w:val="nil"/>
              <w:bottom w:val="nil"/>
              <w:right w:val="nil"/>
            </w:tcBorders>
            <w:shd w:val="clear" w:color="auto" w:fill="auto"/>
            <w:vAlign w:val="bottom"/>
          </w:tcPr>
          <w:p>
            <w:pP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单位</w:t>
            </w:r>
            <w:r>
              <w:rPr>
                <w:rFonts w:hint="default" w:ascii="Times New Roman" w:hAnsi="Times New Roman" w:cs="Times New Roman"/>
                <w:sz w:val="20"/>
                <w:szCs w:val="20"/>
              </w:rPr>
              <w:t>：</w:t>
            </w:r>
            <w:r>
              <w:rPr>
                <w:rFonts w:hint="default" w:ascii="Times New Roman" w:hAnsi="Times New Roman" w:cs="Times New Roman"/>
                <w:sz w:val="20"/>
              </w:rPr>
              <w:t>重庆市涪陵区同乐镇人民政府</w:t>
            </w:r>
          </w:p>
        </w:tc>
        <w:tc>
          <w:tcPr>
            <w:tcW w:w="1890" w:type="dxa"/>
            <w:tcBorders>
              <w:top w:val="nil"/>
              <w:left w:val="nil"/>
              <w:right w:val="nil"/>
            </w:tcBorders>
            <w:shd w:val="clear" w:color="auto" w:fill="auto"/>
            <w:vAlign w:val="bottom"/>
          </w:tcPr>
          <w:p>
            <w:pPr>
              <w:jc w:val="right"/>
              <w:textAlignment w:val="bottom"/>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公开02表</w:t>
            </w:r>
          </w:p>
          <w:p>
            <w:pPr>
              <w:jc w:val="right"/>
              <w:textAlignment w:val="bottom"/>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单位：万元</w:t>
            </w:r>
          </w:p>
        </w:tc>
      </w:tr>
      <w:tr>
        <w:tblPrEx>
          <w:tblCellMar>
            <w:top w:w="0" w:type="dxa"/>
            <w:left w:w="108" w:type="dxa"/>
            <w:bottom w:w="0" w:type="dxa"/>
            <w:right w:w="108" w:type="dxa"/>
          </w:tblCellMar>
        </w:tblPrEx>
        <w:trPr>
          <w:trHeight w:val="326" w:hRule="atLeast"/>
        </w:trPr>
        <w:tc>
          <w:tcPr>
            <w:tcW w:w="16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科目代码</w:t>
            </w:r>
          </w:p>
        </w:tc>
        <w:tc>
          <w:tcPr>
            <w:tcW w:w="3524" w:type="dxa"/>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科目名称</w:t>
            </w:r>
          </w:p>
        </w:tc>
        <w:tc>
          <w:tcPr>
            <w:tcW w:w="2030" w:type="dxa"/>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本年收入合计</w:t>
            </w:r>
          </w:p>
        </w:tc>
        <w:tc>
          <w:tcPr>
            <w:tcW w:w="2670" w:type="dxa"/>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财政拨款收入</w:t>
            </w:r>
          </w:p>
        </w:tc>
        <w:tc>
          <w:tcPr>
            <w:tcW w:w="2490" w:type="dxa"/>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上级补助收入</w:t>
            </w:r>
          </w:p>
        </w:tc>
        <w:tc>
          <w:tcPr>
            <w:tcW w:w="2505" w:type="dxa"/>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事业收入</w:t>
            </w:r>
          </w:p>
        </w:tc>
        <w:tc>
          <w:tcPr>
            <w:tcW w:w="2220" w:type="dxa"/>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经营收入</w:t>
            </w:r>
          </w:p>
        </w:tc>
        <w:tc>
          <w:tcPr>
            <w:tcW w:w="2115" w:type="dxa"/>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附属单位上缴收入</w:t>
            </w:r>
          </w:p>
        </w:tc>
        <w:tc>
          <w:tcPr>
            <w:tcW w:w="1890" w:type="dxa"/>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其他收入</w:t>
            </w:r>
          </w:p>
        </w:tc>
      </w:tr>
      <w:tr>
        <w:tblPrEx>
          <w:tblCellMar>
            <w:top w:w="0" w:type="dxa"/>
            <w:left w:w="108" w:type="dxa"/>
            <w:bottom w:w="0" w:type="dxa"/>
            <w:right w:w="108" w:type="dxa"/>
          </w:tblCellMar>
        </w:tblPrEx>
        <w:trPr>
          <w:trHeight w:val="326" w:hRule="atLeast"/>
        </w:trPr>
        <w:tc>
          <w:tcPr>
            <w:tcW w:w="16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cs="Times New Roman"/>
                <w:color w:val="000000"/>
                <w:sz w:val="22"/>
                <w:szCs w:val="22"/>
              </w:rPr>
            </w:pPr>
          </w:p>
        </w:tc>
        <w:tc>
          <w:tcPr>
            <w:tcW w:w="3524"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cs="Times New Roman"/>
                <w:color w:val="000000"/>
                <w:sz w:val="22"/>
                <w:szCs w:val="22"/>
              </w:rPr>
            </w:pPr>
          </w:p>
        </w:tc>
        <w:tc>
          <w:tcPr>
            <w:tcW w:w="2030"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cs="Times New Roman"/>
                <w:color w:val="000000"/>
                <w:sz w:val="22"/>
                <w:szCs w:val="22"/>
              </w:rPr>
            </w:pPr>
          </w:p>
        </w:tc>
        <w:tc>
          <w:tcPr>
            <w:tcW w:w="2670"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cs="Times New Roman"/>
                <w:color w:val="000000"/>
                <w:sz w:val="22"/>
                <w:szCs w:val="22"/>
              </w:rPr>
            </w:pPr>
          </w:p>
        </w:tc>
        <w:tc>
          <w:tcPr>
            <w:tcW w:w="2490"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cs="Times New Roman"/>
                <w:color w:val="000000"/>
                <w:sz w:val="22"/>
                <w:szCs w:val="22"/>
              </w:rPr>
            </w:pPr>
          </w:p>
        </w:tc>
        <w:tc>
          <w:tcPr>
            <w:tcW w:w="2505"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cs="Times New Roman"/>
                <w:color w:val="000000"/>
                <w:sz w:val="22"/>
                <w:szCs w:val="22"/>
              </w:rPr>
            </w:pPr>
          </w:p>
        </w:tc>
        <w:tc>
          <w:tcPr>
            <w:tcW w:w="2220"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cs="Times New Roman"/>
                <w:color w:val="000000"/>
                <w:sz w:val="22"/>
                <w:szCs w:val="22"/>
              </w:rPr>
            </w:pPr>
          </w:p>
        </w:tc>
        <w:tc>
          <w:tcPr>
            <w:tcW w:w="2115"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cs="Times New Roman"/>
                <w:color w:val="000000"/>
                <w:sz w:val="22"/>
                <w:szCs w:val="22"/>
              </w:rPr>
            </w:pPr>
          </w:p>
        </w:tc>
        <w:tc>
          <w:tcPr>
            <w:tcW w:w="1890"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cs="Times New Roman"/>
                <w:color w:val="000000"/>
                <w:sz w:val="22"/>
                <w:szCs w:val="22"/>
              </w:rPr>
            </w:pPr>
          </w:p>
        </w:tc>
      </w:tr>
      <w:tr>
        <w:tblPrEx>
          <w:tblCellMar>
            <w:top w:w="0" w:type="dxa"/>
            <w:left w:w="108" w:type="dxa"/>
            <w:bottom w:w="0" w:type="dxa"/>
            <w:right w:w="108" w:type="dxa"/>
          </w:tblCellMar>
        </w:tblPrEx>
        <w:trPr>
          <w:trHeight w:val="326" w:hRule="atLeast"/>
        </w:trPr>
        <w:tc>
          <w:tcPr>
            <w:tcW w:w="16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cs="Times New Roman"/>
                <w:color w:val="000000"/>
                <w:sz w:val="22"/>
                <w:szCs w:val="22"/>
              </w:rPr>
            </w:pPr>
          </w:p>
        </w:tc>
        <w:tc>
          <w:tcPr>
            <w:tcW w:w="3524"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cs="Times New Roman"/>
                <w:color w:val="000000"/>
                <w:sz w:val="22"/>
                <w:szCs w:val="22"/>
              </w:rPr>
            </w:pPr>
          </w:p>
        </w:tc>
        <w:tc>
          <w:tcPr>
            <w:tcW w:w="2030"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cs="Times New Roman"/>
                <w:color w:val="000000"/>
                <w:sz w:val="22"/>
                <w:szCs w:val="22"/>
              </w:rPr>
            </w:pPr>
          </w:p>
        </w:tc>
        <w:tc>
          <w:tcPr>
            <w:tcW w:w="2670"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cs="Times New Roman"/>
                <w:color w:val="000000"/>
                <w:sz w:val="22"/>
                <w:szCs w:val="22"/>
              </w:rPr>
            </w:pPr>
          </w:p>
        </w:tc>
        <w:tc>
          <w:tcPr>
            <w:tcW w:w="2490"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cs="Times New Roman"/>
                <w:color w:val="000000"/>
                <w:sz w:val="22"/>
                <w:szCs w:val="22"/>
              </w:rPr>
            </w:pPr>
          </w:p>
        </w:tc>
        <w:tc>
          <w:tcPr>
            <w:tcW w:w="2505"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cs="Times New Roman"/>
                <w:color w:val="000000"/>
                <w:sz w:val="22"/>
                <w:szCs w:val="22"/>
              </w:rPr>
            </w:pPr>
          </w:p>
        </w:tc>
        <w:tc>
          <w:tcPr>
            <w:tcW w:w="2220"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cs="Times New Roman"/>
                <w:color w:val="000000"/>
                <w:sz w:val="22"/>
                <w:szCs w:val="22"/>
              </w:rPr>
            </w:pPr>
          </w:p>
        </w:tc>
        <w:tc>
          <w:tcPr>
            <w:tcW w:w="2115"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cs="Times New Roman"/>
                <w:color w:val="000000"/>
                <w:sz w:val="22"/>
                <w:szCs w:val="22"/>
              </w:rPr>
            </w:pPr>
          </w:p>
        </w:tc>
        <w:tc>
          <w:tcPr>
            <w:tcW w:w="1890"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cs="Times New Roman"/>
                <w:color w:val="000000"/>
                <w:sz w:val="22"/>
                <w:szCs w:val="22"/>
              </w:rPr>
            </w:pPr>
          </w:p>
        </w:tc>
      </w:tr>
      <w:tr>
        <w:tblPrEx>
          <w:tblCellMar>
            <w:top w:w="0" w:type="dxa"/>
            <w:left w:w="108" w:type="dxa"/>
            <w:bottom w:w="0" w:type="dxa"/>
            <w:right w:w="108" w:type="dxa"/>
          </w:tblCellMar>
        </w:tblPrEx>
        <w:trPr>
          <w:trHeight w:val="326" w:hRule="atLeast"/>
        </w:trPr>
        <w:tc>
          <w:tcPr>
            <w:tcW w:w="16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cs="Times New Roman"/>
                <w:color w:val="000000"/>
                <w:sz w:val="22"/>
                <w:szCs w:val="22"/>
              </w:rPr>
            </w:pPr>
          </w:p>
        </w:tc>
        <w:tc>
          <w:tcPr>
            <w:tcW w:w="3524"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cs="Times New Roman"/>
                <w:color w:val="000000"/>
                <w:sz w:val="22"/>
                <w:szCs w:val="22"/>
              </w:rPr>
            </w:pPr>
          </w:p>
        </w:tc>
        <w:tc>
          <w:tcPr>
            <w:tcW w:w="2030"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cs="Times New Roman"/>
                <w:color w:val="000000"/>
                <w:sz w:val="22"/>
                <w:szCs w:val="22"/>
              </w:rPr>
            </w:pPr>
          </w:p>
        </w:tc>
        <w:tc>
          <w:tcPr>
            <w:tcW w:w="2670"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cs="Times New Roman"/>
                <w:color w:val="000000"/>
                <w:sz w:val="22"/>
                <w:szCs w:val="22"/>
              </w:rPr>
            </w:pPr>
          </w:p>
        </w:tc>
        <w:tc>
          <w:tcPr>
            <w:tcW w:w="2490"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cs="Times New Roman"/>
                <w:color w:val="000000"/>
                <w:sz w:val="22"/>
                <w:szCs w:val="22"/>
              </w:rPr>
            </w:pPr>
          </w:p>
        </w:tc>
        <w:tc>
          <w:tcPr>
            <w:tcW w:w="2505"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cs="Times New Roman"/>
                <w:color w:val="000000"/>
                <w:sz w:val="22"/>
                <w:szCs w:val="22"/>
              </w:rPr>
            </w:pPr>
          </w:p>
        </w:tc>
        <w:tc>
          <w:tcPr>
            <w:tcW w:w="2220"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cs="Times New Roman"/>
                <w:color w:val="000000"/>
                <w:sz w:val="22"/>
                <w:szCs w:val="22"/>
              </w:rPr>
            </w:pPr>
          </w:p>
        </w:tc>
        <w:tc>
          <w:tcPr>
            <w:tcW w:w="2115"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cs="Times New Roman"/>
                <w:color w:val="000000"/>
                <w:sz w:val="22"/>
                <w:szCs w:val="22"/>
              </w:rPr>
            </w:pPr>
          </w:p>
        </w:tc>
        <w:tc>
          <w:tcPr>
            <w:tcW w:w="1890"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cs="Times New Roman"/>
                <w:color w:val="000000"/>
                <w:sz w:val="22"/>
                <w:szCs w:val="22"/>
              </w:rPr>
            </w:pPr>
          </w:p>
        </w:tc>
      </w:tr>
      <w:tr>
        <w:tblPrEx>
          <w:tblCellMar>
            <w:top w:w="0" w:type="dxa"/>
            <w:left w:w="108" w:type="dxa"/>
            <w:bottom w:w="0" w:type="dxa"/>
            <w:right w:w="108" w:type="dxa"/>
          </w:tblCellMar>
        </w:tblPrEx>
        <w:trPr>
          <w:trHeight w:val="412" w:hRule="atLeast"/>
        </w:trPr>
        <w:tc>
          <w:tcPr>
            <w:tcW w:w="575" w:type="dxa"/>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类</w:t>
            </w:r>
          </w:p>
        </w:tc>
        <w:tc>
          <w:tcPr>
            <w:tcW w:w="574" w:type="dxa"/>
            <w:vMerge w:val="restart"/>
            <w:tcBorders>
              <w:top w:val="nil"/>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款</w:t>
            </w:r>
          </w:p>
        </w:tc>
        <w:tc>
          <w:tcPr>
            <w:tcW w:w="544" w:type="dxa"/>
            <w:vMerge w:val="restart"/>
            <w:tcBorders>
              <w:top w:val="nil"/>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项</w:t>
            </w:r>
          </w:p>
        </w:tc>
        <w:tc>
          <w:tcPr>
            <w:tcW w:w="3524" w:type="dxa"/>
            <w:tcBorders>
              <w:top w:val="nil"/>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栏次</w:t>
            </w:r>
          </w:p>
        </w:tc>
        <w:tc>
          <w:tcPr>
            <w:tcW w:w="2030" w:type="dxa"/>
            <w:tcBorders>
              <w:top w:val="nil"/>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1</w:t>
            </w:r>
          </w:p>
        </w:tc>
        <w:tc>
          <w:tcPr>
            <w:tcW w:w="2670" w:type="dxa"/>
            <w:tcBorders>
              <w:top w:val="nil"/>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2</w:t>
            </w:r>
          </w:p>
        </w:tc>
        <w:tc>
          <w:tcPr>
            <w:tcW w:w="2490" w:type="dxa"/>
            <w:tcBorders>
              <w:top w:val="nil"/>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3</w:t>
            </w:r>
          </w:p>
        </w:tc>
        <w:tc>
          <w:tcPr>
            <w:tcW w:w="2505" w:type="dxa"/>
            <w:tcBorders>
              <w:top w:val="nil"/>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4</w:t>
            </w:r>
          </w:p>
        </w:tc>
        <w:tc>
          <w:tcPr>
            <w:tcW w:w="2220" w:type="dxa"/>
            <w:tcBorders>
              <w:top w:val="nil"/>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5</w:t>
            </w:r>
          </w:p>
        </w:tc>
        <w:tc>
          <w:tcPr>
            <w:tcW w:w="2115" w:type="dxa"/>
            <w:tcBorders>
              <w:top w:val="nil"/>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6</w:t>
            </w:r>
          </w:p>
        </w:tc>
        <w:tc>
          <w:tcPr>
            <w:tcW w:w="1890" w:type="dxa"/>
            <w:tcBorders>
              <w:top w:val="nil"/>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7</w:t>
            </w:r>
          </w:p>
        </w:tc>
      </w:tr>
      <w:tr>
        <w:tblPrEx>
          <w:tblCellMar>
            <w:top w:w="0" w:type="dxa"/>
            <w:left w:w="108" w:type="dxa"/>
            <w:bottom w:w="0" w:type="dxa"/>
            <w:right w:w="108" w:type="dxa"/>
          </w:tblCellMar>
        </w:tblPrEx>
        <w:trPr>
          <w:trHeight w:val="412" w:hRule="atLeast"/>
        </w:trPr>
        <w:tc>
          <w:tcPr>
            <w:tcW w:w="575"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cs="Times New Roman"/>
                <w:color w:val="000000"/>
                <w:sz w:val="22"/>
                <w:szCs w:val="22"/>
              </w:rPr>
            </w:pPr>
          </w:p>
        </w:tc>
        <w:tc>
          <w:tcPr>
            <w:tcW w:w="574" w:type="dxa"/>
            <w:vMerge w:val="continue"/>
            <w:tcBorders>
              <w:top w:val="nil"/>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cs="Times New Roman"/>
                <w:color w:val="000000"/>
                <w:sz w:val="22"/>
                <w:szCs w:val="22"/>
              </w:rPr>
            </w:pPr>
          </w:p>
        </w:tc>
        <w:tc>
          <w:tcPr>
            <w:tcW w:w="544" w:type="dxa"/>
            <w:vMerge w:val="continue"/>
            <w:tcBorders>
              <w:top w:val="nil"/>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cs="Times New Roman"/>
                <w:color w:val="000000"/>
                <w:sz w:val="22"/>
                <w:szCs w:val="22"/>
              </w:rPr>
            </w:pPr>
          </w:p>
        </w:tc>
        <w:tc>
          <w:tcPr>
            <w:tcW w:w="3524" w:type="dxa"/>
            <w:tcBorders>
              <w:top w:val="nil"/>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合计</w:t>
            </w:r>
          </w:p>
        </w:tc>
        <w:tc>
          <w:tcPr>
            <w:tcW w:w="2030" w:type="dxa"/>
            <w:tcBorders>
              <w:top w:val="nil"/>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b/>
                <w:bCs/>
                <w:color w:val="000000"/>
                <w:sz w:val="22"/>
                <w:szCs w:val="22"/>
              </w:rPr>
            </w:pPr>
            <w:r>
              <w:rPr>
                <w:rFonts w:hint="default" w:ascii="Times New Roman" w:hAnsi="Times New Roman" w:cs="Times New Roman"/>
                <w:color w:val="000000"/>
                <w:sz w:val="22"/>
                <w:szCs w:val="22"/>
              </w:rPr>
              <w:t xml:space="preserve">4129.97 </w:t>
            </w:r>
          </w:p>
        </w:tc>
        <w:tc>
          <w:tcPr>
            <w:tcW w:w="2670" w:type="dxa"/>
            <w:tcBorders>
              <w:top w:val="nil"/>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b/>
                <w:bCs/>
                <w:color w:val="000000"/>
                <w:sz w:val="22"/>
                <w:szCs w:val="22"/>
              </w:rPr>
            </w:pPr>
            <w:r>
              <w:rPr>
                <w:rFonts w:hint="default" w:ascii="Times New Roman" w:hAnsi="Times New Roman" w:cs="Times New Roman"/>
                <w:color w:val="000000"/>
                <w:sz w:val="22"/>
                <w:szCs w:val="22"/>
              </w:rPr>
              <w:t xml:space="preserve">4129.97 </w:t>
            </w:r>
          </w:p>
        </w:tc>
        <w:tc>
          <w:tcPr>
            <w:tcW w:w="2490" w:type="dxa"/>
            <w:tcBorders>
              <w:top w:val="nil"/>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0.00 </w:t>
            </w:r>
          </w:p>
        </w:tc>
        <w:tc>
          <w:tcPr>
            <w:tcW w:w="2505" w:type="dxa"/>
            <w:tcBorders>
              <w:top w:val="nil"/>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0.00 </w:t>
            </w:r>
          </w:p>
        </w:tc>
        <w:tc>
          <w:tcPr>
            <w:tcW w:w="2220" w:type="dxa"/>
            <w:tcBorders>
              <w:top w:val="nil"/>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0.00 </w:t>
            </w:r>
          </w:p>
        </w:tc>
        <w:tc>
          <w:tcPr>
            <w:tcW w:w="2115" w:type="dxa"/>
            <w:tcBorders>
              <w:top w:val="nil"/>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0.00 </w:t>
            </w:r>
          </w:p>
        </w:tc>
        <w:tc>
          <w:tcPr>
            <w:tcW w:w="1890" w:type="dxa"/>
            <w:tcBorders>
              <w:top w:val="nil"/>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0.00 </w:t>
            </w:r>
          </w:p>
        </w:tc>
      </w:tr>
      <w:tr>
        <w:tblPrEx>
          <w:tblCellMar>
            <w:top w:w="0" w:type="dxa"/>
            <w:left w:w="108" w:type="dxa"/>
            <w:bottom w:w="0" w:type="dxa"/>
            <w:right w:w="108" w:type="dxa"/>
          </w:tblCellMar>
        </w:tblPrEx>
        <w:trPr>
          <w:trHeight w:val="432" w:hRule="atLeast"/>
        </w:trPr>
        <w:tc>
          <w:tcPr>
            <w:tcW w:w="16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201</w:t>
            </w:r>
          </w:p>
        </w:tc>
        <w:tc>
          <w:tcPr>
            <w:tcW w:w="3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一般公共服务支出</w:t>
            </w:r>
          </w:p>
        </w:tc>
        <w:tc>
          <w:tcPr>
            <w:tcW w:w="2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1208.53 </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1208.53 </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r>
      <w:tr>
        <w:tblPrEx>
          <w:tblCellMar>
            <w:top w:w="0" w:type="dxa"/>
            <w:left w:w="108" w:type="dxa"/>
            <w:bottom w:w="0" w:type="dxa"/>
            <w:right w:w="108" w:type="dxa"/>
          </w:tblCellMar>
        </w:tblPrEx>
        <w:trPr>
          <w:trHeight w:val="432" w:hRule="atLeast"/>
        </w:trPr>
        <w:tc>
          <w:tcPr>
            <w:tcW w:w="16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20103</w:t>
            </w:r>
          </w:p>
        </w:tc>
        <w:tc>
          <w:tcPr>
            <w:tcW w:w="3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政府办公厅（室）及相关机构事务</w:t>
            </w:r>
          </w:p>
        </w:tc>
        <w:tc>
          <w:tcPr>
            <w:tcW w:w="2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1075.62 </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1075.62 </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432" w:hRule="atLeast"/>
        </w:trPr>
        <w:tc>
          <w:tcPr>
            <w:tcW w:w="16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2010301</w:t>
            </w:r>
          </w:p>
        </w:tc>
        <w:tc>
          <w:tcPr>
            <w:tcW w:w="3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行政运行</w:t>
            </w:r>
          </w:p>
        </w:tc>
        <w:tc>
          <w:tcPr>
            <w:tcW w:w="2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884.44 </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884.44 </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432" w:hRule="atLeast"/>
        </w:trPr>
        <w:tc>
          <w:tcPr>
            <w:tcW w:w="16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2010302</w:t>
            </w:r>
          </w:p>
        </w:tc>
        <w:tc>
          <w:tcPr>
            <w:tcW w:w="3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一般行政管理事务</w:t>
            </w:r>
          </w:p>
        </w:tc>
        <w:tc>
          <w:tcPr>
            <w:tcW w:w="2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191.18 </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191.18 </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432" w:hRule="atLeast"/>
        </w:trPr>
        <w:tc>
          <w:tcPr>
            <w:tcW w:w="16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20131</w:t>
            </w:r>
          </w:p>
        </w:tc>
        <w:tc>
          <w:tcPr>
            <w:tcW w:w="3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党委办公厅（室）及相关机构事务</w:t>
            </w:r>
          </w:p>
        </w:tc>
        <w:tc>
          <w:tcPr>
            <w:tcW w:w="2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132.91 </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132.91 </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432" w:hRule="atLeast"/>
        </w:trPr>
        <w:tc>
          <w:tcPr>
            <w:tcW w:w="16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2013101</w:t>
            </w:r>
          </w:p>
        </w:tc>
        <w:tc>
          <w:tcPr>
            <w:tcW w:w="3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行政运行</w:t>
            </w:r>
          </w:p>
        </w:tc>
        <w:tc>
          <w:tcPr>
            <w:tcW w:w="2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112.91 </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112.91 </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432" w:hRule="atLeast"/>
        </w:trPr>
        <w:tc>
          <w:tcPr>
            <w:tcW w:w="16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2013102</w:t>
            </w:r>
          </w:p>
        </w:tc>
        <w:tc>
          <w:tcPr>
            <w:tcW w:w="3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一般行政管理事务</w:t>
            </w:r>
          </w:p>
        </w:tc>
        <w:tc>
          <w:tcPr>
            <w:tcW w:w="2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20.00 </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20.00 </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432" w:hRule="atLeast"/>
        </w:trPr>
        <w:tc>
          <w:tcPr>
            <w:tcW w:w="16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207</w:t>
            </w:r>
          </w:p>
        </w:tc>
        <w:tc>
          <w:tcPr>
            <w:tcW w:w="3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文化旅游体育与传媒支出</w:t>
            </w:r>
          </w:p>
        </w:tc>
        <w:tc>
          <w:tcPr>
            <w:tcW w:w="2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147.45 </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147.45 </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432" w:hRule="atLeast"/>
        </w:trPr>
        <w:tc>
          <w:tcPr>
            <w:tcW w:w="16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20701</w:t>
            </w:r>
          </w:p>
        </w:tc>
        <w:tc>
          <w:tcPr>
            <w:tcW w:w="3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文化和旅游</w:t>
            </w:r>
          </w:p>
        </w:tc>
        <w:tc>
          <w:tcPr>
            <w:tcW w:w="2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147.45 </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147.45 </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432" w:hRule="atLeast"/>
        </w:trPr>
        <w:tc>
          <w:tcPr>
            <w:tcW w:w="16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2070199</w:t>
            </w:r>
          </w:p>
        </w:tc>
        <w:tc>
          <w:tcPr>
            <w:tcW w:w="3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其他文化和旅游支出</w:t>
            </w:r>
          </w:p>
        </w:tc>
        <w:tc>
          <w:tcPr>
            <w:tcW w:w="2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147.45 </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147.45 </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432" w:hRule="atLeast"/>
        </w:trPr>
        <w:tc>
          <w:tcPr>
            <w:tcW w:w="16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208</w:t>
            </w:r>
          </w:p>
        </w:tc>
        <w:tc>
          <w:tcPr>
            <w:tcW w:w="3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社会保障和就业支出</w:t>
            </w:r>
          </w:p>
        </w:tc>
        <w:tc>
          <w:tcPr>
            <w:tcW w:w="2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549.98 </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549.98 </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432" w:hRule="atLeast"/>
        </w:trPr>
        <w:tc>
          <w:tcPr>
            <w:tcW w:w="16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20801</w:t>
            </w:r>
          </w:p>
        </w:tc>
        <w:tc>
          <w:tcPr>
            <w:tcW w:w="3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人力资源和社会保障管理事务</w:t>
            </w:r>
          </w:p>
        </w:tc>
        <w:tc>
          <w:tcPr>
            <w:tcW w:w="2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118.62 </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118.62 </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432" w:hRule="atLeast"/>
        </w:trPr>
        <w:tc>
          <w:tcPr>
            <w:tcW w:w="16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2080150</w:t>
            </w:r>
          </w:p>
        </w:tc>
        <w:tc>
          <w:tcPr>
            <w:tcW w:w="3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事业运行</w:t>
            </w:r>
          </w:p>
        </w:tc>
        <w:tc>
          <w:tcPr>
            <w:tcW w:w="2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118.62 </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118.62 </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432" w:hRule="atLeast"/>
        </w:trPr>
        <w:tc>
          <w:tcPr>
            <w:tcW w:w="16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20805</w:t>
            </w:r>
          </w:p>
        </w:tc>
        <w:tc>
          <w:tcPr>
            <w:tcW w:w="3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行政事业单位养老支出</w:t>
            </w:r>
          </w:p>
        </w:tc>
        <w:tc>
          <w:tcPr>
            <w:tcW w:w="2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421.96 </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421.96 </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432" w:hRule="atLeast"/>
        </w:trPr>
        <w:tc>
          <w:tcPr>
            <w:tcW w:w="16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2080505</w:t>
            </w:r>
          </w:p>
        </w:tc>
        <w:tc>
          <w:tcPr>
            <w:tcW w:w="3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机关事业单位基本养老保险缴费支出</w:t>
            </w:r>
          </w:p>
        </w:tc>
        <w:tc>
          <w:tcPr>
            <w:tcW w:w="2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227.24 </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227.24 </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432" w:hRule="atLeast"/>
        </w:trPr>
        <w:tc>
          <w:tcPr>
            <w:tcW w:w="16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2080506</w:t>
            </w:r>
          </w:p>
        </w:tc>
        <w:tc>
          <w:tcPr>
            <w:tcW w:w="3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机关事业单位职业年金缴费支出</w:t>
            </w:r>
          </w:p>
        </w:tc>
        <w:tc>
          <w:tcPr>
            <w:tcW w:w="2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96.32 </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96.32 </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432" w:hRule="atLeast"/>
        </w:trPr>
        <w:tc>
          <w:tcPr>
            <w:tcW w:w="16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2080599</w:t>
            </w:r>
          </w:p>
        </w:tc>
        <w:tc>
          <w:tcPr>
            <w:tcW w:w="3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其他行政事业单位养老支出</w:t>
            </w:r>
          </w:p>
        </w:tc>
        <w:tc>
          <w:tcPr>
            <w:tcW w:w="2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98.39 </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98.39 </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432" w:hRule="atLeast"/>
        </w:trPr>
        <w:tc>
          <w:tcPr>
            <w:tcW w:w="16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20811</w:t>
            </w:r>
          </w:p>
        </w:tc>
        <w:tc>
          <w:tcPr>
            <w:tcW w:w="3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残疾人事业</w:t>
            </w:r>
          </w:p>
        </w:tc>
        <w:tc>
          <w:tcPr>
            <w:tcW w:w="2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9.41 </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9.41 </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432" w:hRule="atLeast"/>
        </w:trPr>
        <w:tc>
          <w:tcPr>
            <w:tcW w:w="16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2081199</w:t>
            </w:r>
          </w:p>
        </w:tc>
        <w:tc>
          <w:tcPr>
            <w:tcW w:w="3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其他残疾人事业支出</w:t>
            </w:r>
          </w:p>
        </w:tc>
        <w:tc>
          <w:tcPr>
            <w:tcW w:w="2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9.41 </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9.41 </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432" w:hRule="atLeast"/>
        </w:trPr>
        <w:tc>
          <w:tcPr>
            <w:tcW w:w="16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210</w:t>
            </w:r>
          </w:p>
        </w:tc>
        <w:tc>
          <w:tcPr>
            <w:tcW w:w="3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卫生健康支出</w:t>
            </w:r>
          </w:p>
        </w:tc>
        <w:tc>
          <w:tcPr>
            <w:tcW w:w="2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128.26 </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128.26 </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432" w:hRule="atLeast"/>
        </w:trPr>
        <w:tc>
          <w:tcPr>
            <w:tcW w:w="16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21011</w:t>
            </w:r>
          </w:p>
        </w:tc>
        <w:tc>
          <w:tcPr>
            <w:tcW w:w="3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行政事业单位医疗</w:t>
            </w:r>
          </w:p>
        </w:tc>
        <w:tc>
          <w:tcPr>
            <w:tcW w:w="2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128.26 </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128.26 </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432" w:hRule="atLeast"/>
        </w:trPr>
        <w:tc>
          <w:tcPr>
            <w:tcW w:w="16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2101101</w:t>
            </w:r>
          </w:p>
        </w:tc>
        <w:tc>
          <w:tcPr>
            <w:tcW w:w="3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行政单位医疗</w:t>
            </w:r>
          </w:p>
        </w:tc>
        <w:tc>
          <w:tcPr>
            <w:tcW w:w="2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62.88 </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62.88 </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432" w:hRule="atLeast"/>
        </w:trPr>
        <w:tc>
          <w:tcPr>
            <w:tcW w:w="16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2101102</w:t>
            </w:r>
          </w:p>
        </w:tc>
        <w:tc>
          <w:tcPr>
            <w:tcW w:w="3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事业单位医疗</w:t>
            </w:r>
          </w:p>
        </w:tc>
        <w:tc>
          <w:tcPr>
            <w:tcW w:w="2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65.38 </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65.38 </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432" w:hRule="atLeast"/>
        </w:trPr>
        <w:tc>
          <w:tcPr>
            <w:tcW w:w="16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211</w:t>
            </w:r>
          </w:p>
        </w:tc>
        <w:tc>
          <w:tcPr>
            <w:tcW w:w="3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节能环保支出</w:t>
            </w:r>
          </w:p>
        </w:tc>
        <w:tc>
          <w:tcPr>
            <w:tcW w:w="2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237.04 </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237.04 </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432" w:hRule="atLeast"/>
        </w:trPr>
        <w:tc>
          <w:tcPr>
            <w:tcW w:w="16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21101</w:t>
            </w:r>
          </w:p>
        </w:tc>
        <w:tc>
          <w:tcPr>
            <w:tcW w:w="3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环境保护管理事务</w:t>
            </w:r>
          </w:p>
        </w:tc>
        <w:tc>
          <w:tcPr>
            <w:tcW w:w="2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237.04 </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237.04 </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432" w:hRule="atLeast"/>
        </w:trPr>
        <w:tc>
          <w:tcPr>
            <w:tcW w:w="16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2110199</w:t>
            </w:r>
          </w:p>
        </w:tc>
        <w:tc>
          <w:tcPr>
            <w:tcW w:w="3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其他环境保护管理事务支出</w:t>
            </w:r>
          </w:p>
        </w:tc>
        <w:tc>
          <w:tcPr>
            <w:tcW w:w="2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237.04 </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237.04 </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432" w:hRule="atLeast"/>
        </w:trPr>
        <w:tc>
          <w:tcPr>
            <w:tcW w:w="16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212</w:t>
            </w:r>
          </w:p>
        </w:tc>
        <w:tc>
          <w:tcPr>
            <w:tcW w:w="3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城乡社区支出</w:t>
            </w:r>
          </w:p>
        </w:tc>
        <w:tc>
          <w:tcPr>
            <w:tcW w:w="2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200.17 </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200.17 </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432" w:hRule="atLeast"/>
        </w:trPr>
        <w:tc>
          <w:tcPr>
            <w:tcW w:w="16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21201</w:t>
            </w:r>
          </w:p>
        </w:tc>
        <w:tc>
          <w:tcPr>
            <w:tcW w:w="3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城乡社区管理事务</w:t>
            </w:r>
          </w:p>
        </w:tc>
        <w:tc>
          <w:tcPr>
            <w:tcW w:w="2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200.17 </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200.17 </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432" w:hRule="atLeast"/>
        </w:trPr>
        <w:tc>
          <w:tcPr>
            <w:tcW w:w="16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2120199</w:t>
            </w:r>
          </w:p>
        </w:tc>
        <w:tc>
          <w:tcPr>
            <w:tcW w:w="3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其他城乡社区管理事务支出</w:t>
            </w:r>
          </w:p>
        </w:tc>
        <w:tc>
          <w:tcPr>
            <w:tcW w:w="2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200.17 </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200.17 </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432" w:hRule="atLeast"/>
        </w:trPr>
        <w:tc>
          <w:tcPr>
            <w:tcW w:w="16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213</w:t>
            </w:r>
          </w:p>
        </w:tc>
        <w:tc>
          <w:tcPr>
            <w:tcW w:w="3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农林水支出</w:t>
            </w:r>
          </w:p>
        </w:tc>
        <w:tc>
          <w:tcPr>
            <w:tcW w:w="2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764.91 </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764.91 </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432" w:hRule="atLeast"/>
        </w:trPr>
        <w:tc>
          <w:tcPr>
            <w:tcW w:w="16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21301</w:t>
            </w:r>
          </w:p>
        </w:tc>
        <w:tc>
          <w:tcPr>
            <w:tcW w:w="3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农业农村</w:t>
            </w:r>
          </w:p>
        </w:tc>
        <w:tc>
          <w:tcPr>
            <w:tcW w:w="2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379.86 </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379.86 </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432" w:hRule="atLeast"/>
        </w:trPr>
        <w:tc>
          <w:tcPr>
            <w:tcW w:w="16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2130104</w:t>
            </w:r>
          </w:p>
        </w:tc>
        <w:tc>
          <w:tcPr>
            <w:tcW w:w="3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事业运行</w:t>
            </w:r>
          </w:p>
        </w:tc>
        <w:tc>
          <w:tcPr>
            <w:tcW w:w="2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379.86 </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379.86 </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432" w:hRule="atLeast"/>
        </w:trPr>
        <w:tc>
          <w:tcPr>
            <w:tcW w:w="16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21307</w:t>
            </w:r>
          </w:p>
        </w:tc>
        <w:tc>
          <w:tcPr>
            <w:tcW w:w="3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农村综合改革</w:t>
            </w:r>
          </w:p>
        </w:tc>
        <w:tc>
          <w:tcPr>
            <w:tcW w:w="2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385.05 </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385.05 </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432" w:hRule="atLeast"/>
        </w:trPr>
        <w:tc>
          <w:tcPr>
            <w:tcW w:w="16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2130705</w:t>
            </w:r>
          </w:p>
        </w:tc>
        <w:tc>
          <w:tcPr>
            <w:tcW w:w="3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对村民委员会和村党支部的补助</w:t>
            </w:r>
          </w:p>
        </w:tc>
        <w:tc>
          <w:tcPr>
            <w:tcW w:w="2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385.05 </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385.05 </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432" w:hRule="atLeast"/>
        </w:trPr>
        <w:tc>
          <w:tcPr>
            <w:tcW w:w="16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215</w:t>
            </w:r>
          </w:p>
        </w:tc>
        <w:tc>
          <w:tcPr>
            <w:tcW w:w="3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资源勘探工业信息等支出</w:t>
            </w:r>
          </w:p>
        </w:tc>
        <w:tc>
          <w:tcPr>
            <w:tcW w:w="2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760.00 </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760.00 </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432" w:hRule="atLeast"/>
        </w:trPr>
        <w:tc>
          <w:tcPr>
            <w:tcW w:w="16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21508</w:t>
            </w:r>
          </w:p>
        </w:tc>
        <w:tc>
          <w:tcPr>
            <w:tcW w:w="3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支持中小企业发展和管理支出</w:t>
            </w:r>
          </w:p>
        </w:tc>
        <w:tc>
          <w:tcPr>
            <w:tcW w:w="2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760.00 </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760.00 </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432" w:hRule="atLeast"/>
        </w:trPr>
        <w:tc>
          <w:tcPr>
            <w:tcW w:w="16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2150899</w:t>
            </w:r>
          </w:p>
        </w:tc>
        <w:tc>
          <w:tcPr>
            <w:tcW w:w="3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其他支持中小企业发展和管理支出</w:t>
            </w:r>
          </w:p>
        </w:tc>
        <w:tc>
          <w:tcPr>
            <w:tcW w:w="2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760.00 </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760.00 </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432" w:hRule="atLeast"/>
        </w:trPr>
        <w:tc>
          <w:tcPr>
            <w:tcW w:w="16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221</w:t>
            </w:r>
          </w:p>
        </w:tc>
        <w:tc>
          <w:tcPr>
            <w:tcW w:w="3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住房保障支出</w:t>
            </w:r>
          </w:p>
        </w:tc>
        <w:tc>
          <w:tcPr>
            <w:tcW w:w="2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129.63 </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129.63 </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432" w:hRule="atLeast"/>
        </w:trPr>
        <w:tc>
          <w:tcPr>
            <w:tcW w:w="16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22102</w:t>
            </w:r>
          </w:p>
        </w:tc>
        <w:tc>
          <w:tcPr>
            <w:tcW w:w="3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住房改革支出</w:t>
            </w:r>
          </w:p>
        </w:tc>
        <w:tc>
          <w:tcPr>
            <w:tcW w:w="2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129.63 </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129.63 </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432" w:hRule="atLeast"/>
        </w:trPr>
        <w:tc>
          <w:tcPr>
            <w:tcW w:w="16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2210201</w:t>
            </w:r>
          </w:p>
        </w:tc>
        <w:tc>
          <w:tcPr>
            <w:tcW w:w="3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住房公积金</w:t>
            </w:r>
          </w:p>
        </w:tc>
        <w:tc>
          <w:tcPr>
            <w:tcW w:w="2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129.63 </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129.63 </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432" w:hRule="atLeast"/>
        </w:trPr>
        <w:tc>
          <w:tcPr>
            <w:tcW w:w="16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229</w:t>
            </w:r>
          </w:p>
        </w:tc>
        <w:tc>
          <w:tcPr>
            <w:tcW w:w="3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其他支出</w:t>
            </w:r>
          </w:p>
        </w:tc>
        <w:tc>
          <w:tcPr>
            <w:tcW w:w="2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4.00 </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4.00 </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432" w:hRule="atLeast"/>
        </w:trPr>
        <w:tc>
          <w:tcPr>
            <w:tcW w:w="16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22960</w:t>
            </w:r>
          </w:p>
        </w:tc>
        <w:tc>
          <w:tcPr>
            <w:tcW w:w="3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彩票公益金安排的支出</w:t>
            </w:r>
          </w:p>
        </w:tc>
        <w:tc>
          <w:tcPr>
            <w:tcW w:w="2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4.00 </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4.00 </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432" w:hRule="atLeast"/>
        </w:trPr>
        <w:tc>
          <w:tcPr>
            <w:tcW w:w="16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2296003</w:t>
            </w:r>
          </w:p>
        </w:tc>
        <w:tc>
          <w:tcPr>
            <w:tcW w:w="3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用于体育事业的彩票公益金支出</w:t>
            </w:r>
          </w:p>
        </w:tc>
        <w:tc>
          <w:tcPr>
            <w:tcW w:w="2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4.00 </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4.00 </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bl>
    <w:p>
      <w:pPr>
        <w:keepNext w:val="0"/>
        <w:keepLines w:val="0"/>
        <w:pageBreakBefore w:val="0"/>
        <w:widowControl/>
        <w:kinsoku/>
        <w:wordWrap/>
        <w:overflowPunct/>
        <w:topLinePunct w:val="0"/>
        <w:autoSpaceDE/>
        <w:autoSpaceDN/>
        <w:bidi w:val="0"/>
        <w:adjustRightInd/>
        <w:snapToGrid/>
        <w:spacing w:line="360" w:lineRule="exact"/>
        <w:ind w:left="600" w:hanging="600" w:hangingChars="300"/>
        <w:rPr>
          <w:rFonts w:hint="default" w:ascii="Times New Roman" w:hAnsi="Times New Roman" w:cs="Times New Roman"/>
          <w:sz w:val="20"/>
          <w:szCs w:val="20"/>
        </w:rPr>
      </w:pPr>
      <w:r>
        <w:rPr>
          <w:rFonts w:hint="default" w:ascii="Times New Roman" w:hAnsi="Times New Roman" w:cs="Times New Roman"/>
          <w:sz w:val="20"/>
          <w:szCs w:val="20"/>
        </w:rPr>
        <w:t>备注：本表反映单位本年度取得的各项收入情况。本单位无相关数据，故本表为空。</w:t>
      </w:r>
      <w:r>
        <w:rPr>
          <w:rFonts w:hint="default" w:ascii="Times New Roman" w:hAnsi="Times New Roman" w:cs="Times New Roman"/>
          <w:sz w:val="20"/>
          <w:szCs w:val="20"/>
        </w:rPr>
        <w:br w:type="textWrapping"/>
      </w:r>
      <w:r>
        <w:rPr>
          <w:rFonts w:hint="default" w:ascii="Times New Roman" w:hAnsi="Times New Roman" w:cs="Times New Roman"/>
          <w:sz w:val="20"/>
          <w:szCs w:val="20"/>
        </w:rPr>
        <w:br w:type="textWrapping"/>
      </w:r>
    </w:p>
    <w:p>
      <w:pPr>
        <w:rPr>
          <w:rFonts w:hint="default" w:ascii="Times New Roman" w:hAnsi="Times New Roman" w:cs="Times New Roman"/>
          <w:sz w:val="21"/>
          <w:szCs w:val="21"/>
        </w:rPr>
      </w:pPr>
      <w:r>
        <w:rPr>
          <w:rFonts w:hint="default" w:ascii="Times New Roman" w:hAnsi="Times New Roman" w:cs="Times New Roman"/>
          <w:sz w:val="21"/>
          <w:szCs w:val="21"/>
        </w:rPr>
        <w:br w:type="page"/>
      </w:r>
    </w:p>
    <w:tbl>
      <w:tblPr>
        <w:tblStyle w:val="7"/>
        <w:tblW w:w="21017" w:type="dxa"/>
        <w:tblInd w:w="93" w:type="dxa"/>
        <w:tblLayout w:type="fixed"/>
        <w:tblCellMar>
          <w:top w:w="0" w:type="dxa"/>
          <w:left w:w="108" w:type="dxa"/>
          <w:bottom w:w="0" w:type="dxa"/>
          <w:right w:w="108" w:type="dxa"/>
        </w:tblCellMar>
      </w:tblPr>
      <w:tblGrid>
        <w:gridCol w:w="539"/>
        <w:gridCol w:w="538"/>
        <w:gridCol w:w="476"/>
        <w:gridCol w:w="3914"/>
        <w:gridCol w:w="2380"/>
        <w:gridCol w:w="3165"/>
        <w:gridCol w:w="2655"/>
        <w:gridCol w:w="2340"/>
        <w:gridCol w:w="2430"/>
        <w:gridCol w:w="2580"/>
      </w:tblGrid>
      <w:tr>
        <w:tblPrEx>
          <w:tblCellMar>
            <w:top w:w="0" w:type="dxa"/>
            <w:left w:w="108" w:type="dxa"/>
            <w:bottom w:w="0" w:type="dxa"/>
            <w:right w:w="108" w:type="dxa"/>
          </w:tblCellMar>
        </w:tblPrEx>
        <w:trPr>
          <w:trHeight w:val="673" w:hRule="atLeast"/>
        </w:trPr>
        <w:tc>
          <w:tcPr>
            <w:tcW w:w="21017" w:type="dxa"/>
            <w:gridSpan w:val="10"/>
            <w:tcBorders>
              <w:top w:val="nil"/>
              <w:left w:val="nil"/>
              <w:bottom w:val="nil"/>
              <w:right w:val="nil"/>
            </w:tcBorders>
            <w:shd w:val="clear" w:color="auto" w:fill="auto"/>
            <w:vAlign w:val="bottom"/>
          </w:tcPr>
          <w:p>
            <w:pPr>
              <w:jc w:val="center"/>
              <w:textAlignment w:val="bottom"/>
              <w:rPr>
                <w:rFonts w:hint="default" w:ascii="Times New Roman" w:hAnsi="Times New Roman" w:cs="Times New Roman"/>
                <w:color w:val="000000"/>
                <w:sz w:val="30"/>
                <w:szCs w:val="30"/>
              </w:rPr>
            </w:pPr>
            <w:r>
              <w:rPr>
                <w:rFonts w:hint="default" w:ascii="Times New Roman" w:hAnsi="Times New Roman" w:cs="Times New Roman"/>
                <w:b/>
                <w:bCs/>
                <w:color w:val="000000"/>
                <w:sz w:val="30"/>
                <w:szCs w:val="30"/>
              </w:rPr>
              <w:t>支出决算表</w:t>
            </w:r>
          </w:p>
        </w:tc>
      </w:tr>
      <w:tr>
        <w:tblPrEx>
          <w:tblCellMar>
            <w:top w:w="0" w:type="dxa"/>
            <w:left w:w="108" w:type="dxa"/>
            <w:bottom w:w="0" w:type="dxa"/>
            <w:right w:w="108" w:type="dxa"/>
          </w:tblCellMar>
        </w:tblPrEx>
        <w:trPr>
          <w:trHeight w:val="336" w:hRule="atLeast"/>
        </w:trPr>
        <w:tc>
          <w:tcPr>
            <w:tcW w:w="18437" w:type="dxa"/>
            <w:gridSpan w:val="9"/>
            <w:vMerge w:val="restart"/>
            <w:tcBorders>
              <w:top w:val="nil"/>
              <w:left w:val="nil"/>
              <w:right w:val="nil"/>
            </w:tcBorders>
            <w:shd w:val="clear" w:color="auto" w:fill="auto"/>
            <w:vAlign w:val="bottom"/>
          </w:tcPr>
          <w:p>
            <w:pP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单位：</w:t>
            </w:r>
            <w:r>
              <w:rPr>
                <w:rFonts w:hint="default" w:ascii="Times New Roman" w:hAnsi="Times New Roman" w:cs="Times New Roman"/>
                <w:color w:val="000000"/>
                <w:sz w:val="20"/>
              </w:rPr>
              <w:t xml:space="preserve">重庆市涪陵区同乐镇人民政府 </w:t>
            </w:r>
          </w:p>
        </w:tc>
        <w:tc>
          <w:tcPr>
            <w:tcW w:w="2580" w:type="dxa"/>
            <w:tcBorders>
              <w:top w:val="nil"/>
              <w:left w:val="nil"/>
              <w:bottom w:val="nil"/>
              <w:right w:val="nil"/>
            </w:tcBorders>
            <w:shd w:val="clear" w:color="auto" w:fill="auto"/>
            <w:vAlign w:val="bottom"/>
          </w:tcPr>
          <w:p>
            <w:pPr>
              <w:jc w:val="right"/>
              <w:textAlignment w:val="bottom"/>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公开03表</w:t>
            </w:r>
          </w:p>
        </w:tc>
      </w:tr>
      <w:tr>
        <w:tblPrEx>
          <w:tblCellMar>
            <w:top w:w="0" w:type="dxa"/>
            <w:left w:w="108" w:type="dxa"/>
            <w:bottom w:w="0" w:type="dxa"/>
            <w:right w:w="108" w:type="dxa"/>
          </w:tblCellMar>
        </w:tblPrEx>
        <w:trPr>
          <w:trHeight w:val="336" w:hRule="atLeast"/>
        </w:trPr>
        <w:tc>
          <w:tcPr>
            <w:tcW w:w="18437" w:type="dxa"/>
            <w:gridSpan w:val="9"/>
            <w:vMerge w:val="continue"/>
            <w:tcBorders>
              <w:left w:val="nil"/>
              <w:bottom w:val="nil"/>
              <w:right w:val="nil"/>
            </w:tcBorders>
            <w:shd w:val="clear" w:color="auto" w:fill="auto"/>
            <w:vAlign w:val="bottom"/>
          </w:tcPr>
          <w:p>
            <w:pPr>
              <w:rPr>
                <w:rFonts w:hint="default" w:ascii="Times New Roman" w:hAnsi="Times New Roman" w:cs="Times New Roman"/>
                <w:color w:val="000000"/>
                <w:sz w:val="20"/>
                <w:szCs w:val="20"/>
              </w:rPr>
            </w:pPr>
          </w:p>
        </w:tc>
        <w:tc>
          <w:tcPr>
            <w:tcW w:w="2580" w:type="dxa"/>
            <w:tcBorders>
              <w:top w:val="nil"/>
              <w:left w:val="nil"/>
              <w:bottom w:val="nil"/>
              <w:right w:val="nil"/>
            </w:tcBorders>
            <w:shd w:val="clear" w:color="auto" w:fill="auto"/>
            <w:vAlign w:val="bottom"/>
          </w:tcPr>
          <w:p>
            <w:pPr>
              <w:jc w:val="right"/>
              <w:textAlignment w:val="bottom"/>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单位：万元</w:t>
            </w:r>
          </w:p>
        </w:tc>
      </w:tr>
      <w:tr>
        <w:tblPrEx>
          <w:tblCellMar>
            <w:top w:w="0" w:type="dxa"/>
            <w:left w:w="108" w:type="dxa"/>
            <w:bottom w:w="0" w:type="dxa"/>
            <w:right w:w="108" w:type="dxa"/>
          </w:tblCellMar>
        </w:tblPrEx>
        <w:trPr>
          <w:trHeight w:val="357" w:hRule="atLeast"/>
        </w:trPr>
        <w:tc>
          <w:tcPr>
            <w:tcW w:w="155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科目代码</w:t>
            </w:r>
          </w:p>
        </w:tc>
        <w:tc>
          <w:tcPr>
            <w:tcW w:w="3914" w:type="dxa"/>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科目名称</w:t>
            </w:r>
          </w:p>
        </w:tc>
        <w:tc>
          <w:tcPr>
            <w:tcW w:w="2380" w:type="dxa"/>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本年支出合计</w:t>
            </w:r>
          </w:p>
        </w:tc>
        <w:tc>
          <w:tcPr>
            <w:tcW w:w="3165" w:type="dxa"/>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基本支出</w:t>
            </w:r>
          </w:p>
        </w:tc>
        <w:tc>
          <w:tcPr>
            <w:tcW w:w="2655" w:type="dxa"/>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项目支出</w:t>
            </w:r>
          </w:p>
        </w:tc>
        <w:tc>
          <w:tcPr>
            <w:tcW w:w="2340" w:type="dxa"/>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上缴上级支出</w:t>
            </w:r>
          </w:p>
        </w:tc>
        <w:tc>
          <w:tcPr>
            <w:tcW w:w="2430" w:type="dxa"/>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经营支出</w:t>
            </w:r>
          </w:p>
        </w:tc>
        <w:tc>
          <w:tcPr>
            <w:tcW w:w="2580" w:type="dxa"/>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对附属单位补助支出</w:t>
            </w:r>
          </w:p>
        </w:tc>
      </w:tr>
      <w:tr>
        <w:tblPrEx>
          <w:tblCellMar>
            <w:top w:w="0" w:type="dxa"/>
            <w:left w:w="108" w:type="dxa"/>
            <w:bottom w:w="0" w:type="dxa"/>
            <w:right w:w="108" w:type="dxa"/>
          </w:tblCellMar>
        </w:tblPrEx>
        <w:trPr>
          <w:trHeight w:val="357" w:hRule="atLeast"/>
        </w:trPr>
        <w:tc>
          <w:tcPr>
            <w:tcW w:w="155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cs="Times New Roman"/>
                <w:color w:val="000000"/>
                <w:sz w:val="22"/>
                <w:szCs w:val="22"/>
              </w:rPr>
            </w:pPr>
          </w:p>
        </w:tc>
        <w:tc>
          <w:tcPr>
            <w:tcW w:w="3914"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cs="Times New Roman"/>
                <w:color w:val="000000"/>
                <w:sz w:val="22"/>
                <w:szCs w:val="22"/>
              </w:rPr>
            </w:pPr>
          </w:p>
        </w:tc>
        <w:tc>
          <w:tcPr>
            <w:tcW w:w="2380"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cs="Times New Roman"/>
                <w:color w:val="000000"/>
                <w:sz w:val="22"/>
                <w:szCs w:val="22"/>
              </w:rPr>
            </w:pPr>
          </w:p>
        </w:tc>
        <w:tc>
          <w:tcPr>
            <w:tcW w:w="3165"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cs="Times New Roman"/>
                <w:color w:val="000000"/>
                <w:sz w:val="22"/>
                <w:szCs w:val="22"/>
              </w:rPr>
            </w:pPr>
          </w:p>
        </w:tc>
        <w:tc>
          <w:tcPr>
            <w:tcW w:w="2655"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cs="Times New Roman"/>
                <w:color w:val="000000"/>
                <w:sz w:val="22"/>
                <w:szCs w:val="22"/>
              </w:rPr>
            </w:pPr>
          </w:p>
        </w:tc>
        <w:tc>
          <w:tcPr>
            <w:tcW w:w="2340"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cs="Times New Roman"/>
                <w:color w:val="000000"/>
                <w:sz w:val="22"/>
                <w:szCs w:val="22"/>
              </w:rPr>
            </w:pPr>
          </w:p>
        </w:tc>
        <w:tc>
          <w:tcPr>
            <w:tcW w:w="2430"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cs="Times New Roman"/>
                <w:color w:val="000000"/>
                <w:sz w:val="22"/>
                <w:szCs w:val="22"/>
              </w:rPr>
            </w:pPr>
          </w:p>
        </w:tc>
        <w:tc>
          <w:tcPr>
            <w:tcW w:w="2580"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cs="Times New Roman"/>
                <w:color w:val="000000"/>
                <w:sz w:val="22"/>
                <w:szCs w:val="22"/>
              </w:rPr>
            </w:pPr>
          </w:p>
        </w:tc>
      </w:tr>
      <w:tr>
        <w:tblPrEx>
          <w:tblCellMar>
            <w:top w:w="0" w:type="dxa"/>
            <w:left w:w="108" w:type="dxa"/>
            <w:bottom w:w="0" w:type="dxa"/>
            <w:right w:w="108" w:type="dxa"/>
          </w:tblCellMar>
        </w:tblPrEx>
        <w:trPr>
          <w:trHeight w:val="357" w:hRule="atLeast"/>
        </w:trPr>
        <w:tc>
          <w:tcPr>
            <w:tcW w:w="155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cs="Times New Roman"/>
                <w:color w:val="000000"/>
                <w:sz w:val="22"/>
                <w:szCs w:val="22"/>
              </w:rPr>
            </w:pPr>
          </w:p>
        </w:tc>
        <w:tc>
          <w:tcPr>
            <w:tcW w:w="3914"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cs="Times New Roman"/>
                <w:color w:val="000000"/>
                <w:sz w:val="22"/>
                <w:szCs w:val="22"/>
              </w:rPr>
            </w:pPr>
          </w:p>
        </w:tc>
        <w:tc>
          <w:tcPr>
            <w:tcW w:w="2380"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cs="Times New Roman"/>
                <w:color w:val="000000"/>
                <w:sz w:val="22"/>
                <w:szCs w:val="22"/>
              </w:rPr>
            </w:pPr>
          </w:p>
        </w:tc>
        <w:tc>
          <w:tcPr>
            <w:tcW w:w="3165"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cs="Times New Roman"/>
                <w:color w:val="000000"/>
                <w:sz w:val="22"/>
                <w:szCs w:val="22"/>
              </w:rPr>
            </w:pPr>
          </w:p>
        </w:tc>
        <w:tc>
          <w:tcPr>
            <w:tcW w:w="2655"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cs="Times New Roman"/>
                <w:color w:val="000000"/>
                <w:sz w:val="22"/>
                <w:szCs w:val="22"/>
              </w:rPr>
            </w:pPr>
          </w:p>
        </w:tc>
        <w:tc>
          <w:tcPr>
            <w:tcW w:w="2340"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cs="Times New Roman"/>
                <w:color w:val="000000"/>
                <w:sz w:val="22"/>
                <w:szCs w:val="22"/>
              </w:rPr>
            </w:pPr>
          </w:p>
        </w:tc>
        <w:tc>
          <w:tcPr>
            <w:tcW w:w="2430"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cs="Times New Roman"/>
                <w:color w:val="000000"/>
                <w:sz w:val="22"/>
                <w:szCs w:val="22"/>
              </w:rPr>
            </w:pPr>
          </w:p>
        </w:tc>
        <w:tc>
          <w:tcPr>
            <w:tcW w:w="2580"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cs="Times New Roman"/>
                <w:color w:val="000000"/>
                <w:sz w:val="22"/>
                <w:szCs w:val="22"/>
              </w:rPr>
            </w:pPr>
          </w:p>
        </w:tc>
      </w:tr>
      <w:tr>
        <w:tblPrEx>
          <w:tblCellMar>
            <w:top w:w="0" w:type="dxa"/>
            <w:left w:w="108" w:type="dxa"/>
            <w:bottom w:w="0" w:type="dxa"/>
            <w:right w:w="108" w:type="dxa"/>
          </w:tblCellMar>
        </w:tblPrEx>
        <w:trPr>
          <w:trHeight w:val="312" w:hRule="atLeast"/>
        </w:trPr>
        <w:tc>
          <w:tcPr>
            <w:tcW w:w="155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cs="Times New Roman"/>
                <w:color w:val="000000"/>
                <w:sz w:val="22"/>
                <w:szCs w:val="22"/>
              </w:rPr>
            </w:pPr>
          </w:p>
        </w:tc>
        <w:tc>
          <w:tcPr>
            <w:tcW w:w="3914"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cs="Times New Roman"/>
                <w:color w:val="000000"/>
                <w:sz w:val="22"/>
                <w:szCs w:val="22"/>
              </w:rPr>
            </w:pPr>
          </w:p>
        </w:tc>
        <w:tc>
          <w:tcPr>
            <w:tcW w:w="2380"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cs="Times New Roman"/>
                <w:color w:val="000000"/>
                <w:sz w:val="22"/>
                <w:szCs w:val="22"/>
              </w:rPr>
            </w:pPr>
          </w:p>
        </w:tc>
        <w:tc>
          <w:tcPr>
            <w:tcW w:w="3165"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cs="Times New Roman"/>
                <w:color w:val="000000"/>
                <w:sz w:val="22"/>
                <w:szCs w:val="22"/>
              </w:rPr>
            </w:pPr>
          </w:p>
        </w:tc>
        <w:tc>
          <w:tcPr>
            <w:tcW w:w="2655"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cs="Times New Roman"/>
                <w:color w:val="000000"/>
                <w:sz w:val="22"/>
                <w:szCs w:val="22"/>
              </w:rPr>
            </w:pPr>
          </w:p>
        </w:tc>
        <w:tc>
          <w:tcPr>
            <w:tcW w:w="2340"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cs="Times New Roman"/>
                <w:color w:val="000000"/>
                <w:sz w:val="22"/>
                <w:szCs w:val="22"/>
              </w:rPr>
            </w:pPr>
          </w:p>
        </w:tc>
        <w:tc>
          <w:tcPr>
            <w:tcW w:w="2430"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cs="Times New Roman"/>
                <w:color w:val="000000"/>
                <w:sz w:val="22"/>
                <w:szCs w:val="22"/>
              </w:rPr>
            </w:pPr>
          </w:p>
        </w:tc>
        <w:tc>
          <w:tcPr>
            <w:tcW w:w="2580"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cs="Times New Roman"/>
                <w:color w:val="000000"/>
                <w:sz w:val="22"/>
                <w:szCs w:val="22"/>
              </w:rPr>
            </w:pPr>
          </w:p>
        </w:tc>
      </w:tr>
      <w:tr>
        <w:tblPrEx>
          <w:tblCellMar>
            <w:top w:w="0" w:type="dxa"/>
            <w:left w:w="108" w:type="dxa"/>
            <w:bottom w:w="0" w:type="dxa"/>
            <w:right w:w="108" w:type="dxa"/>
          </w:tblCellMar>
        </w:tblPrEx>
        <w:trPr>
          <w:trHeight w:val="452" w:hRule="atLeast"/>
        </w:trPr>
        <w:tc>
          <w:tcPr>
            <w:tcW w:w="539" w:type="dxa"/>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类</w:t>
            </w:r>
          </w:p>
        </w:tc>
        <w:tc>
          <w:tcPr>
            <w:tcW w:w="538" w:type="dxa"/>
            <w:vMerge w:val="restart"/>
            <w:tcBorders>
              <w:top w:val="nil"/>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款</w:t>
            </w:r>
          </w:p>
        </w:tc>
        <w:tc>
          <w:tcPr>
            <w:tcW w:w="476" w:type="dxa"/>
            <w:vMerge w:val="restart"/>
            <w:tcBorders>
              <w:top w:val="nil"/>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项</w:t>
            </w:r>
          </w:p>
        </w:tc>
        <w:tc>
          <w:tcPr>
            <w:tcW w:w="3914" w:type="dxa"/>
            <w:tcBorders>
              <w:top w:val="nil"/>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栏次</w:t>
            </w:r>
          </w:p>
        </w:tc>
        <w:tc>
          <w:tcPr>
            <w:tcW w:w="2380" w:type="dxa"/>
            <w:tcBorders>
              <w:top w:val="nil"/>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1</w:t>
            </w:r>
          </w:p>
        </w:tc>
        <w:tc>
          <w:tcPr>
            <w:tcW w:w="3165" w:type="dxa"/>
            <w:tcBorders>
              <w:top w:val="nil"/>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2</w:t>
            </w:r>
          </w:p>
        </w:tc>
        <w:tc>
          <w:tcPr>
            <w:tcW w:w="2655" w:type="dxa"/>
            <w:tcBorders>
              <w:top w:val="nil"/>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3</w:t>
            </w:r>
          </w:p>
        </w:tc>
        <w:tc>
          <w:tcPr>
            <w:tcW w:w="2340" w:type="dxa"/>
            <w:tcBorders>
              <w:top w:val="nil"/>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4</w:t>
            </w:r>
          </w:p>
        </w:tc>
        <w:tc>
          <w:tcPr>
            <w:tcW w:w="2430" w:type="dxa"/>
            <w:tcBorders>
              <w:top w:val="nil"/>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5</w:t>
            </w:r>
          </w:p>
        </w:tc>
        <w:tc>
          <w:tcPr>
            <w:tcW w:w="2580" w:type="dxa"/>
            <w:tcBorders>
              <w:top w:val="nil"/>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6</w:t>
            </w:r>
          </w:p>
        </w:tc>
      </w:tr>
      <w:tr>
        <w:tblPrEx>
          <w:tblCellMar>
            <w:top w:w="0" w:type="dxa"/>
            <w:left w:w="108" w:type="dxa"/>
            <w:bottom w:w="0" w:type="dxa"/>
            <w:right w:w="108" w:type="dxa"/>
          </w:tblCellMar>
        </w:tblPrEx>
        <w:trPr>
          <w:trHeight w:val="452" w:hRule="atLeast"/>
        </w:trPr>
        <w:tc>
          <w:tcPr>
            <w:tcW w:w="539"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cs="Times New Roman"/>
                <w:color w:val="000000"/>
                <w:sz w:val="22"/>
                <w:szCs w:val="22"/>
              </w:rPr>
            </w:pPr>
          </w:p>
        </w:tc>
        <w:tc>
          <w:tcPr>
            <w:tcW w:w="538" w:type="dxa"/>
            <w:vMerge w:val="continue"/>
            <w:tcBorders>
              <w:top w:val="nil"/>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cs="Times New Roman"/>
                <w:color w:val="000000"/>
                <w:sz w:val="22"/>
                <w:szCs w:val="22"/>
              </w:rPr>
            </w:pPr>
          </w:p>
        </w:tc>
        <w:tc>
          <w:tcPr>
            <w:tcW w:w="476" w:type="dxa"/>
            <w:vMerge w:val="continue"/>
            <w:tcBorders>
              <w:top w:val="nil"/>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cs="Times New Roman"/>
                <w:color w:val="000000"/>
                <w:sz w:val="22"/>
                <w:szCs w:val="22"/>
              </w:rPr>
            </w:pPr>
          </w:p>
        </w:tc>
        <w:tc>
          <w:tcPr>
            <w:tcW w:w="3914" w:type="dxa"/>
            <w:tcBorders>
              <w:top w:val="nil"/>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合计</w:t>
            </w:r>
          </w:p>
        </w:tc>
        <w:tc>
          <w:tcPr>
            <w:tcW w:w="2380" w:type="dxa"/>
            <w:tcBorders>
              <w:top w:val="nil"/>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b/>
                <w:bCs/>
                <w:color w:val="000000"/>
                <w:sz w:val="22"/>
                <w:szCs w:val="22"/>
              </w:rPr>
            </w:pPr>
            <w:r>
              <w:rPr>
                <w:rFonts w:hint="default" w:ascii="Times New Roman" w:hAnsi="Times New Roman" w:cs="Times New Roman"/>
                <w:color w:val="000000"/>
                <w:sz w:val="22"/>
                <w:szCs w:val="22"/>
              </w:rPr>
              <w:t xml:space="preserve">4129.97 </w:t>
            </w:r>
          </w:p>
        </w:tc>
        <w:tc>
          <w:tcPr>
            <w:tcW w:w="3165" w:type="dxa"/>
            <w:tcBorders>
              <w:top w:val="nil"/>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b/>
                <w:bCs/>
                <w:color w:val="000000"/>
                <w:sz w:val="22"/>
                <w:szCs w:val="22"/>
              </w:rPr>
            </w:pPr>
            <w:r>
              <w:rPr>
                <w:rFonts w:hint="default" w:ascii="Times New Roman" w:hAnsi="Times New Roman" w:cs="Times New Roman"/>
                <w:color w:val="000000"/>
                <w:sz w:val="22"/>
                <w:szCs w:val="22"/>
              </w:rPr>
              <w:t xml:space="preserve">2727.76 </w:t>
            </w:r>
          </w:p>
        </w:tc>
        <w:tc>
          <w:tcPr>
            <w:tcW w:w="2655" w:type="dxa"/>
            <w:tcBorders>
              <w:top w:val="nil"/>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b/>
                <w:bCs/>
                <w:color w:val="000000"/>
                <w:sz w:val="22"/>
                <w:szCs w:val="22"/>
              </w:rPr>
            </w:pPr>
            <w:r>
              <w:rPr>
                <w:rFonts w:hint="default" w:ascii="Times New Roman" w:hAnsi="Times New Roman" w:cs="Times New Roman"/>
                <w:color w:val="000000"/>
                <w:sz w:val="22"/>
                <w:szCs w:val="22"/>
              </w:rPr>
              <w:t xml:space="preserve">1402.21 </w:t>
            </w:r>
          </w:p>
        </w:tc>
        <w:tc>
          <w:tcPr>
            <w:tcW w:w="2340" w:type="dxa"/>
            <w:tcBorders>
              <w:top w:val="nil"/>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0.00 </w:t>
            </w:r>
          </w:p>
        </w:tc>
        <w:tc>
          <w:tcPr>
            <w:tcW w:w="2430" w:type="dxa"/>
            <w:tcBorders>
              <w:top w:val="nil"/>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0.00 </w:t>
            </w:r>
          </w:p>
        </w:tc>
        <w:tc>
          <w:tcPr>
            <w:tcW w:w="2580" w:type="dxa"/>
            <w:tcBorders>
              <w:top w:val="nil"/>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0.00 </w:t>
            </w:r>
          </w:p>
        </w:tc>
      </w:tr>
      <w:tr>
        <w:tblPrEx>
          <w:tblCellMar>
            <w:top w:w="0" w:type="dxa"/>
            <w:left w:w="108" w:type="dxa"/>
            <w:bottom w:w="0" w:type="dxa"/>
            <w:right w:w="108" w:type="dxa"/>
          </w:tblCellMar>
        </w:tblPrEx>
        <w:trPr>
          <w:trHeight w:val="389" w:hRule="atLeast"/>
        </w:trPr>
        <w:tc>
          <w:tcPr>
            <w:tcW w:w="15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201</w:t>
            </w:r>
          </w:p>
        </w:tc>
        <w:tc>
          <w:tcPr>
            <w:tcW w:w="3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一般公共服务支出</w:t>
            </w:r>
          </w:p>
        </w:tc>
        <w:tc>
          <w:tcPr>
            <w:tcW w:w="2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1208.53 </w:t>
            </w:r>
          </w:p>
        </w:tc>
        <w:tc>
          <w:tcPr>
            <w:tcW w:w="31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997.35 </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211.18 </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r>
      <w:tr>
        <w:tblPrEx>
          <w:tblCellMar>
            <w:top w:w="0" w:type="dxa"/>
            <w:left w:w="108" w:type="dxa"/>
            <w:bottom w:w="0" w:type="dxa"/>
            <w:right w:w="108" w:type="dxa"/>
          </w:tblCellMar>
        </w:tblPrEx>
        <w:trPr>
          <w:trHeight w:val="389" w:hRule="atLeast"/>
        </w:trPr>
        <w:tc>
          <w:tcPr>
            <w:tcW w:w="15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20103</w:t>
            </w:r>
          </w:p>
        </w:tc>
        <w:tc>
          <w:tcPr>
            <w:tcW w:w="3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政府办公厅（室）及相关机构事务</w:t>
            </w:r>
          </w:p>
        </w:tc>
        <w:tc>
          <w:tcPr>
            <w:tcW w:w="2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1075.62 </w:t>
            </w:r>
          </w:p>
        </w:tc>
        <w:tc>
          <w:tcPr>
            <w:tcW w:w="31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884.44 </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191.18 </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89" w:hRule="atLeast"/>
        </w:trPr>
        <w:tc>
          <w:tcPr>
            <w:tcW w:w="15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2010301</w:t>
            </w:r>
          </w:p>
        </w:tc>
        <w:tc>
          <w:tcPr>
            <w:tcW w:w="3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行政运行</w:t>
            </w:r>
          </w:p>
        </w:tc>
        <w:tc>
          <w:tcPr>
            <w:tcW w:w="2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884.44 </w:t>
            </w:r>
          </w:p>
        </w:tc>
        <w:tc>
          <w:tcPr>
            <w:tcW w:w="31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884.44 </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89" w:hRule="atLeast"/>
        </w:trPr>
        <w:tc>
          <w:tcPr>
            <w:tcW w:w="15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2010302</w:t>
            </w:r>
          </w:p>
        </w:tc>
        <w:tc>
          <w:tcPr>
            <w:tcW w:w="3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一般行政管理事务</w:t>
            </w:r>
          </w:p>
        </w:tc>
        <w:tc>
          <w:tcPr>
            <w:tcW w:w="2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191.18 </w:t>
            </w:r>
          </w:p>
        </w:tc>
        <w:tc>
          <w:tcPr>
            <w:tcW w:w="31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191.18 </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89" w:hRule="atLeast"/>
        </w:trPr>
        <w:tc>
          <w:tcPr>
            <w:tcW w:w="15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20131</w:t>
            </w:r>
          </w:p>
        </w:tc>
        <w:tc>
          <w:tcPr>
            <w:tcW w:w="3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党委办公厅（室）及相关机构事务</w:t>
            </w:r>
          </w:p>
        </w:tc>
        <w:tc>
          <w:tcPr>
            <w:tcW w:w="2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132.91 </w:t>
            </w:r>
          </w:p>
        </w:tc>
        <w:tc>
          <w:tcPr>
            <w:tcW w:w="31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112.91 </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20.00 </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89" w:hRule="atLeast"/>
        </w:trPr>
        <w:tc>
          <w:tcPr>
            <w:tcW w:w="15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2013101</w:t>
            </w:r>
          </w:p>
        </w:tc>
        <w:tc>
          <w:tcPr>
            <w:tcW w:w="3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行政运行</w:t>
            </w:r>
          </w:p>
        </w:tc>
        <w:tc>
          <w:tcPr>
            <w:tcW w:w="2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112.91 </w:t>
            </w:r>
          </w:p>
        </w:tc>
        <w:tc>
          <w:tcPr>
            <w:tcW w:w="31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112.91 </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89" w:hRule="atLeast"/>
        </w:trPr>
        <w:tc>
          <w:tcPr>
            <w:tcW w:w="15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2013102</w:t>
            </w:r>
          </w:p>
        </w:tc>
        <w:tc>
          <w:tcPr>
            <w:tcW w:w="3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一般行政管理事务</w:t>
            </w:r>
          </w:p>
        </w:tc>
        <w:tc>
          <w:tcPr>
            <w:tcW w:w="2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20.00 </w:t>
            </w:r>
          </w:p>
        </w:tc>
        <w:tc>
          <w:tcPr>
            <w:tcW w:w="31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20.00 </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89" w:hRule="atLeast"/>
        </w:trPr>
        <w:tc>
          <w:tcPr>
            <w:tcW w:w="15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207</w:t>
            </w:r>
          </w:p>
        </w:tc>
        <w:tc>
          <w:tcPr>
            <w:tcW w:w="3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文化旅游体育与传媒支出</w:t>
            </w:r>
          </w:p>
        </w:tc>
        <w:tc>
          <w:tcPr>
            <w:tcW w:w="2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147.45 </w:t>
            </w:r>
          </w:p>
        </w:tc>
        <w:tc>
          <w:tcPr>
            <w:tcW w:w="31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142.46 </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5.00 </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89" w:hRule="atLeast"/>
        </w:trPr>
        <w:tc>
          <w:tcPr>
            <w:tcW w:w="15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20701</w:t>
            </w:r>
          </w:p>
        </w:tc>
        <w:tc>
          <w:tcPr>
            <w:tcW w:w="3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文化和旅游</w:t>
            </w:r>
          </w:p>
        </w:tc>
        <w:tc>
          <w:tcPr>
            <w:tcW w:w="2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147.45 </w:t>
            </w:r>
          </w:p>
        </w:tc>
        <w:tc>
          <w:tcPr>
            <w:tcW w:w="31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142.46 </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5.00 </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89" w:hRule="atLeast"/>
        </w:trPr>
        <w:tc>
          <w:tcPr>
            <w:tcW w:w="15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2070199</w:t>
            </w:r>
          </w:p>
        </w:tc>
        <w:tc>
          <w:tcPr>
            <w:tcW w:w="3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其他文化和旅游支出</w:t>
            </w:r>
          </w:p>
        </w:tc>
        <w:tc>
          <w:tcPr>
            <w:tcW w:w="2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147.45 </w:t>
            </w:r>
          </w:p>
        </w:tc>
        <w:tc>
          <w:tcPr>
            <w:tcW w:w="31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142.46 </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5.00 </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89" w:hRule="atLeast"/>
        </w:trPr>
        <w:tc>
          <w:tcPr>
            <w:tcW w:w="15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208</w:t>
            </w:r>
          </w:p>
        </w:tc>
        <w:tc>
          <w:tcPr>
            <w:tcW w:w="3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社会保障和就业支出</w:t>
            </w:r>
          </w:p>
        </w:tc>
        <w:tc>
          <w:tcPr>
            <w:tcW w:w="2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549.98 </w:t>
            </w:r>
          </w:p>
        </w:tc>
        <w:tc>
          <w:tcPr>
            <w:tcW w:w="31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540.57 </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9.41 </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89" w:hRule="atLeast"/>
        </w:trPr>
        <w:tc>
          <w:tcPr>
            <w:tcW w:w="15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20801</w:t>
            </w:r>
          </w:p>
        </w:tc>
        <w:tc>
          <w:tcPr>
            <w:tcW w:w="3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人力资源和社会保障管理事务</w:t>
            </w:r>
          </w:p>
        </w:tc>
        <w:tc>
          <w:tcPr>
            <w:tcW w:w="2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118.62 </w:t>
            </w:r>
          </w:p>
        </w:tc>
        <w:tc>
          <w:tcPr>
            <w:tcW w:w="31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118.62 </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89" w:hRule="atLeast"/>
        </w:trPr>
        <w:tc>
          <w:tcPr>
            <w:tcW w:w="15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2080150</w:t>
            </w:r>
          </w:p>
        </w:tc>
        <w:tc>
          <w:tcPr>
            <w:tcW w:w="3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事业运行</w:t>
            </w:r>
          </w:p>
        </w:tc>
        <w:tc>
          <w:tcPr>
            <w:tcW w:w="2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118.62 </w:t>
            </w:r>
          </w:p>
        </w:tc>
        <w:tc>
          <w:tcPr>
            <w:tcW w:w="31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118.62 </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89" w:hRule="atLeast"/>
        </w:trPr>
        <w:tc>
          <w:tcPr>
            <w:tcW w:w="15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20805</w:t>
            </w:r>
          </w:p>
        </w:tc>
        <w:tc>
          <w:tcPr>
            <w:tcW w:w="3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行政事业单位养老支出</w:t>
            </w:r>
          </w:p>
        </w:tc>
        <w:tc>
          <w:tcPr>
            <w:tcW w:w="2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421.96 </w:t>
            </w:r>
          </w:p>
        </w:tc>
        <w:tc>
          <w:tcPr>
            <w:tcW w:w="31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421.96 </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89" w:hRule="atLeast"/>
        </w:trPr>
        <w:tc>
          <w:tcPr>
            <w:tcW w:w="15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2080505</w:t>
            </w:r>
          </w:p>
        </w:tc>
        <w:tc>
          <w:tcPr>
            <w:tcW w:w="3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机关事业单位基本养老保险缴费支出</w:t>
            </w:r>
          </w:p>
        </w:tc>
        <w:tc>
          <w:tcPr>
            <w:tcW w:w="2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227.24 </w:t>
            </w:r>
          </w:p>
        </w:tc>
        <w:tc>
          <w:tcPr>
            <w:tcW w:w="31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227.24 </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89" w:hRule="atLeast"/>
        </w:trPr>
        <w:tc>
          <w:tcPr>
            <w:tcW w:w="15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2080506</w:t>
            </w:r>
          </w:p>
        </w:tc>
        <w:tc>
          <w:tcPr>
            <w:tcW w:w="3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机关事业单位职业年金缴费支出</w:t>
            </w:r>
          </w:p>
        </w:tc>
        <w:tc>
          <w:tcPr>
            <w:tcW w:w="2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96.32 </w:t>
            </w:r>
          </w:p>
        </w:tc>
        <w:tc>
          <w:tcPr>
            <w:tcW w:w="31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96.32 </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89" w:hRule="atLeast"/>
        </w:trPr>
        <w:tc>
          <w:tcPr>
            <w:tcW w:w="15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2080599</w:t>
            </w:r>
          </w:p>
        </w:tc>
        <w:tc>
          <w:tcPr>
            <w:tcW w:w="3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其他行政事业单位养老支出</w:t>
            </w:r>
          </w:p>
        </w:tc>
        <w:tc>
          <w:tcPr>
            <w:tcW w:w="2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98.39 </w:t>
            </w:r>
          </w:p>
        </w:tc>
        <w:tc>
          <w:tcPr>
            <w:tcW w:w="31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98.39 </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89" w:hRule="atLeast"/>
        </w:trPr>
        <w:tc>
          <w:tcPr>
            <w:tcW w:w="15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20811</w:t>
            </w:r>
          </w:p>
        </w:tc>
        <w:tc>
          <w:tcPr>
            <w:tcW w:w="3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残疾人事业</w:t>
            </w:r>
          </w:p>
        </w:tc>
        <w:tc>
          <w:tcPr>
            <w:tcW w:w="2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9.41 </w:t>
            </w:r>
          </w:p>
        </w:tc>
        <w:tc>
          <w:tcPr>
            <w:tcW w:w="31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9.41 </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89" w:hRule="atLeast"/>
        </w:trPr>
        <w:tc>
          <w:tcPr>
            <w:tcW w:w="15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2081199</w:t>
            </w:r>
          </w:p>
        </w:tc>
        <w:tc>
          <w:tcPr>
            <w:tcW w:w="3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其他残疾人事业支出</w:t>
            </w:r>
          </w:p>
        </w:tc>
        <w:tc>
          <w:tcPr>
            <w:tcW w:w="2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9.41 </w:t>
            </w:r>
          </w:p>
        </w:tc>
        <w:tc>
          <w:tcPr>
            <w:tcW w:w="31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9.41 </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89" w:hRule="atLeast"/>
        </w:trPr>
        <w:tc>
          <w:tcPr>
            <w:tcW w:w="15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210</w:t>
            </w:r>
          </w:p>
        </w:tc>
        <w:tc>
          <w:tcPr>
            <w:tcW w:w="3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卫生健康支出</w:t>
            </w:r>
          </w:p>
        </w:tc>
        <w:tc>
          <w:tcPr>
            <w:tcW w:w="2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128.26 </w:t>
            </w:r>
          </w:p>
        </w:tc>
        <w:tc>
          <w:tcPr>
            <w:tcW w:w="31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128.26 </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89" w:hRule="atLeast"/>
        </w:trPr>
        <w:tc>
          <w:tcPr>
            <w:tcW w:w="15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21011</w:t>
            </w:r>
          </w:p>
        </w:tc>
        <w:tc>
          <w:tcPr>
            <w:tcW w:w="3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行政事业单位医疗</w:t>
            </w:r>
          </w:p>
        </w:tc>
        <w:tc>
          <w:tcPr>
            <w:tcW w:w="2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128.26 </w:t>
            </w:r>
          </w:p>
        </w:tc>
        <w:tc>
          <w:tcPr>
            <w:tcW w:w="31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128.26 </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89" w:hRule="atLeast"/>
        </w:trPr>
        <w:tc>
          <w:tcPr>
            <w:tcW w:w="15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2101101</w:t>
            </w:r>
          </w:p>
        </w:tc>
        <w:tc>
          <w:tcPr>
            <w:tcW w:w="3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行政单位医疗</w:t>
            </w:r>
          </w:p>
        </w:tc>
        <w:tc>
          <w:tcPr>
            <w:tcW w:w="2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62.88 </w:t>
            </w:r>
          </w:p>
        </w:tc>
        <w:tc>
          <w:tcPr>
            <w:tcW w:w="31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62.88 </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89" w:hRule="atLeast"/>
        </w:trPr>
        <w:tc>
          <w:tcPr>
            <w:tcW w:w="15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2101102</w:t>
            </w:r>
          </w:p>
        </w:tc>
        <w:tc>
          <w:tcPr>
            <w:tcW w:w="3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事业单位医疗</w:t>
            </w:r>
          </w:p>
        </w:tc>
        <w:tc>
          <w:tcPr>
            <w:tcW w:w="2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65.38 </w:t>
            </w:r>
          </w:p>
        </w:tc>
        <w:tc>
          <w:tcPr>
            <w:tcW w:w="31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65.38 </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89" w:hRule="atLeast"/>
        </w:trPr>
        <w:tc>
          <w:tcPr>
            <w:tcW w:w="15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211</w:t>
            </w:r>
          </w:p>
        </w:tc>
        <w:tc>
          <w:tcPr>
            <w:tcW w:w="3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节能环保支出</w:t>
            </w:r>
          </w:p>
        </w:tc>
        <w:tc>
          <w:tcPr>
            <w:tcW w:w="2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237.04 </w:t>
            </w:r>
          </w:p>
        </w:tc>
        <w:tc>
          <w:tcPr>
            <w:tcW w:w="31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237.04 </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89" w:hRule="atLeast"/>
        </w:trPr>
        <w:tc>
          <w:tcPr>
            <w:tcW w:w="15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21101</w:t>
            </w:r>
          </w:p>
        </w:tc>
        <w:tc>
          <w:tcPr>
            <w:tcW w:w="3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环境保护管理事务</w:t>
            </w:r>
          </w:p>
        </w:tc>
        <w:tc>
          <w:tcPr>
            <w:tcW w:w="2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237.04 </w:t>
            </w:r>
          </w:p>
        </w:tc>
        <w:tc>
          <w:tcPr>
            <w:tcW w:w="31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237.04 </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89" w:hRule="atLeast"/>
        </w:trPr>
        <w:tc>
          <w:tcPr>
            <w:tcW w:w="15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2110199</w:t>
            </w:r>
          </w:p>
        </w:tc>
        <w:tc>
          <w:tcPr>
            <w:tcW w:w="3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其他环境保护管理事务支出</w:t>
            </w:r>
          </w:p>
        </w:tc>
        <w:tc>
          <w:tcPr>
            <w:tcW w:w="2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237.04 </w:t>
            </w:r>
          </w:p>
        </w:tc>
        <w:tc>
          <w:tcPr>
            <w:tcW w:w="31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237.04 </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89" w:hRule="atLeast"/>
        </w:trPr>
        <w:tc>
          <w:tcPr>
            <w:tcW w:w="15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212</w:t>
            </w:r>
          </w:p>
        </w:tc>
        <w:tc>
          <w:tcPr>
            <w:tcW w:w="3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城乡社区支出</w:t>
            </w:r>
          </w:p>
        </w:tc>
        <w:tc>
          <w:tcPr>
            <w:tcW w:w="2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200.17 </w:t>
            </w:r>
          </w:p>
        </w:tc>
        <w:tc>
          <w:tcPr>
            <w:tcW w:w="31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172.59 </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27.58 </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89" w:hRule="atLeast"/>
        </w:trPr>
        <w:tc>
          <w:tcPr>
            <w:tcW w:w="15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21201</w:t>
            </w:r>
          </w:p>
        </w:tc>
        <w:tc>
          <w:tcPr>
            <w:tcW w:w="3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城乡社区管理事务</w:t>
            </w:r>
          </w:p>
        </w:tc>
        <w:tc>
          <w:tcPr>
            <w:tcW w:w="2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200.17 </w:t>
            </w:r>
          </w:p>
        </w:tc>
        <w:tc>
          <w:tcPr>
            <w:tcW w:w="31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172.59 </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27.58 </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89" w:hRule="atLeast"/>
        </w:trPr>
        <w:tc>
          <w:tcPr>
            <w:tcW w:w="15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2120199</w:t>
            </w:r>
          </w:p>
        </w:tc>
        <w:tc>
          <w:tcPr>
            <w:tcW w:w="3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其他城乡社区管理事务支出</w:t>
            </w:r>
          </w:p>
        </w:tc>
        <w:tc>
          <w:tcPr>
            <w:tcW w:w="2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200.17 </w:t>
            </w:r>
          </w:p>
        </w:tc>
        <w:tc>
          <w:tcPr>
            <w:tcW w:w="31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172.59 </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27.58 </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89" w:hRule="atLeast"/>
        </w:trPr>
        <w:tc>
          <w:tcPr>
            <w:tcW w:w="15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213</w:t>
            </w:r>
          </w:p>
        </w:tc>
        <w:tc>
          <w:tcPr>
            <w:tcW w:w="3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农林水支出</w:t>
            </w:r>
          </w:p>
        </w:tc>
        <w:tc>
          <w:tcPr>
            <w:tcW w:w="2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764.91 </w:t>
            </w:r>
          </w:p>
        </w:tc>
        <w:tc>
          <w:tcPr>
            <w:tcW w:w="31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379.86 </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385.05 </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89" w:hRule="atLeast"/>
        </w:trPr>
        <w:tc>
          <w:tcPr>
            <w:tcW w:w="15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21301</w:t>
            </w:r>
          </w:p>
        </w:tc>
        <w:tc>
          <w:tcPr>
            <w:tcW w:w="3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农业农村</w:t>
            </w:r>
          </w:p>
        </w:tc>
        <w:tc>
          <w:tcPr>
            <w:tcW w:w="2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379.86 </w:t>
            </w:r>
          </w:p>
        </w:tc>
        <w:tc>
          <w:tcPr>
            <w:tcW w:w="31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379.86 </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89" w:hRule="atLeast"/>
        </w:trPr>
        <w:tc>
          <w:tcPr>
            <w:tcW w:w="15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2130104</w:t>
            </w:r>
          </w:p>
        </w:tc>
        <w:tc>
          <w:tcPr>
            <w:tcW w:w="3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事业运行</w:t>
            </w:r>
          </w:p>
        </w:tc>
        <w:tc>
          <w:tcPr>
            <w:tcW w:w="2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379.86 </w:t>
            </w:r>
          </w:p>
        </w:tc>
        <w:tc>
          <w:tcPr>
            <w:tcW w:w="31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379.86 </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89" w:hRule="atLeast"/>
        </w:trPr>
        <w:tc>
          <w:tcPr>
            <w:tcW w:w="15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21307</w:t>
            </w:r>
          </w:p>
        </w:tc>
        <w:tc>
          <w:tcPr>
            <w:tcW w:w="3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农村综合改革</w:t>
            </w:r>
          </w:p>
        </w:tc>
        <w:tc>
          <w:tcPr>
            <w:tcW w:w="2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385.05 </w:t>
            </w:r>
          </w:p>
        </w:tc>
        <w:tc>
          <w:tcPr>
            <w:tcW w:w="31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385.05 </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89" w:hRule="atLeast"/>
        </w:trPr>
        <w:tc>
          <w:tcPr>
            <w:tcW w:w="15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2130705</w:t>
            </w:r>
          </w:p>
        </w:tc>
        <w:tc>
          <w:tcPr>
            <w:tcW w:w="3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对村民委员会和村党支部的补助</w:t>
            </w:r>
          </w:p>
        </w:tc>
        <w:tc>
          <w:tcPr>
            <w:tcW w:w="2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385.05 </w:t>
            </w:r>
          </w:p>
        </w:tc>
        <w:tc>
          <w:tcPr>
            <w:tcW w:w="31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385.05 </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89" w:hRule="atLeast"/>
        </w:trPr>
        <w:tc>
          <w:tcPr>
            <w:tcW w:w="15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215</w:t>
            </w:r>
          </w:p>
        </w:tc>
        <w:tc>
          <w:tcPr>
            <w:tcW w:w="3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资源勘探工业信息等支出</w:t>
            </w:r>
          </w:p>
        </w:tc>
        <w:tc>
          <w:tcPr>
            <w:tcW w:w="2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760.00 </w:t>
            </w:r>
          </w:p>
        </w:tc>
        <w:tc>
          <w:tcPr>
            <w:tcW w:w="31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760.00 </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89" w:hRule="atLeast"/>
        </w:trPr>
        <w:tc>
          <w:tcPr>
            <w:tcW w:w="15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21508</w:t>
            </w:r>
          </w:p>
        </w:tc>
        <w:tc>
          <w:tcPr>
            <w:tcW w:w="3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支持中小企业发展和管理支出</w:t>
            </w:r>
          </w:p>
        </w:tc>
        <w:tc>
          <w:tcPr>
            <w:tcW w:w="2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760.00 </w:t>
            </w:r>
          </w:p>
        </w:tc>
        <w:tc>
          <w:tcPr>
            <w:tcW w:w="31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760.00 </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89" w:hRule="atLeast"/>
        </w:trPr>
        <w:tc>
          <w:tcPr>
            <w:tcW w:w="15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2150899</w:t>
            </w:r>
          </w:p>
        </w:tc>
        <w:tc>
          <w:tcPr>
            <w:tcW w:w="3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其他支持中小企业发展和管理支出</w:t>
            </w:r>
          </w:p>
        </w:tc>
        <w:tc>
          <w:tcPr>
            <w:tcW w:w="2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760.00 </w:t>
            </w:r>
          </w:p>
        </w:tc>
        <w:tc>
          <w:tcPr>
            <w:tcW w:w="31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760.00 </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89" w:hRule="atLeast"/>
        </w:trPr>
        <w:tc>
          <w:tcPr>
            <w:tcW w:w="15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221</w:t>
            </w:r>
          </w:p>
        </w:tc>
        <w:tc>
          <w:tcPr>
            <w:tcW w:w="3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住房保障支出</w:t>
            </w:r>
          </w:p>
        </w:tc>
        <w:tc>
          <w:tcPr>
            <w:tcW w:w="2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129.63 </w:t>
            </w:r>
          </w:p>
        </w:tc>
        <w:tc>
          <w:tcPr>
            <w:tcW w:w="31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129.63 </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89" w:hRule="atLeast"/>
        </w:trPr>
        <w:tc>
          <w:tcPr>
            <w:tcW w:w="15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22102</w:t>
            </w:r>
          </w:p>
        </w:tc>
        <w:tc>
          <w:tcPr>
            <w:tcW w:w="3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住房改革支出</w:t>
            </w:r>
          </w:p>
        </w:tc>
        <w:tc>
          <w:tcPr>
            <w:tcW w:w="2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129.63 </w:t>
            </w:r>
          </w:p>
        </w:tc>
        <w:tc>
          <w:tcPr>
            <w:tcW w:w="31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129.63 </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89" w:hRule="atLeast"/>
        </w:trPr>
        <w:tc>
          <w:tcPr>
            <w:tcW w:w="15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2210201</w:t>
            </w:r>
          </w:p>
        </w:tc>
        <w:tc>
          <w:tcPr>
            <w:tcW w:w="3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住房公积金</w:t>
            </w:r>
          </w:p>
        </w:tc>
        <w:tc>
          <w:tcPr>
            <w:tcW w:w="2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129.63 </w:t>
            </w:r>
          </w:p>
        </w:tc>
        <w:tc>
          <w:tcPr>
            <w:tcW w:w="31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129.63 </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89" w:hRule="atLeast"/>
        </w:trPr>
        <w:tc>
          <w:tcPr>
            <w:tcW w:w="15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229</w:t>
            </w:r>
          </w:p>
        </w:tc>
        <w:tc>
          <w:tcPr>
            <w:tcW w:w="3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其他支出</w:t>
            </w:r>
          </w:p>
        </w:tc>
        <w:tc>
          <w:tcPr>
            <w:tcW w:w="2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4.00 </w:t>
            </w:r>
          </w:p>
        </w:tc>
        <w:tc>
          <w:tcPr>
            <w:tcW w:w="31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4.00 </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89" w:hRule="atLeast"/>
        </w:trPr>
        <w:tc>
          <w:tcPr>
            <w:tcW w:w="15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22960</w:t>
            </w:r>
          </w:p>
        </w:tc>
        <w:tc>
          <w:tcPr>
            <w:tcW w:w="3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彩票公益金安排的支出</w:t>
            </w:r>
          </w:p>
        </w:tc>
        <w:tc>
          <w:tcPr>
            <w:tcW w:w="2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4.00 </w:t>
            </w:r>
          </w:p>
        </w:tc>
        <w:tc>
          <w:tcPr>
            <w:tcW w:w="31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4.00 </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89" w:hRule="atLeast"/>
        </w:trPr>
        <w:tc>
          <w:tcPr>
            <w:tcW w:w="15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2296003</w:t>
            </w:r>
          </w:p>
        </w:tc>
        <w:tc>
          <w:tcPr>
            <w:tcW w:w="3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用于体育事业的彩票公益金支出</w:t>
            </w:r>
          </w:p>
        </w:tc>
        <w:tc>
          <w:tcPr>
            <w:tcW w:w="2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4.00 </w:t>
            </w:r>
          </w:p>
        </w:tc>
        <w:tc>
          <w:tcPr>
            <w:tcW w:w="31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2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4.00 </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bl>
    <w:p>
      <w:pPr>
        <w:keepNext w:val="0"/>
        <w:keepLines w:val="0"/>
        <w:pageBreakBefore w:val="0"/>
        <w:widowControl/>
        <w:kinsoku/>
        <w:wordWrap/>
        <w:overflowPunct/>
        <w:topLinePunct w:val="0"/>
        <w:autoSpaceDE/>
        <w:autoSpaceDN/>
        <w:bidi w:val="0"/>
        <w:adjustRightInd/>
        <w:snapToGrid/>
        <w:spacing w:line="340" w:lineRule="exact"/>
        <w:rPr>
          <w:rFonts w:hint="default" w:ascii="Times New Roman" w:hAnsi="Times New Roman" w:cs="Times New Roman"/>
          <w:sz w:val="21"/>
          <w:szCs w:val="21"/>
        </w:rPr>
      </w:pPr>
      <w:r>
        <w:rPr>
          <w:rFonts w:hint="default" w:ascii="Times New Roman" w:hAnsi="Times New Roman" w:cs="Times New Roman"/>
          <w:sz w:val="20"/>
          <w:szCs w:val="20"/>
        </w:rPr>
        <w:t>备注：本表反映单位本年度各项支出情况。本单位无相关数据，故本表为空。</w:t>
      </w:r>
      <w:r>
        <w:rPr>
          <w:rFonts w:hint="default" w:ascii="Times New Roman" w:hAnsi="Times New Roman" w:cs="Times New Roman"/>
          <w:sz w:val="20"/>
          <w:szCs w:val="20"/>
        </w:rPr>
        <w:br w:type="textWrapping"/>
      </w:r>
      <w:r>
        <w:rPr>
          <w:rFonts w:hint="default" w:ascii="Times New Roman" w:hAnsi="Times New Roman" w:cs="Times New Roman"/>
          <w:sz w:val="20"/>
          <w:szCs w:val="20"/>
        </w:rPr>
        <w:br w:type="textWrapping"/>
      </w:r>
    </w:p>
    <w:p>
      <w:pPr>
        <w:rPr>
          <w:rFonts w:hint="default" w:ascii="Times New Roman" w:hAnsi="Times New Roman" w:cs="Times New Roman"/>
          <w:sz w:val="21"/>
          <w:szCs w:val="21"/>
        </w:rPr>
      </w:pPr>
      <w:r>
        <w:rPr>
          <w:rFonts w:hint="default" w:ascii="Times New Roman" w:hAnsi="Times New Roman" w:cs="Times New Roman"/>
          <w:sz w:val="21"/>
          <w:szCs w:val="21"/>
        </w:rPr>
        <w:br w:type="page"/>
      </w:r>
    </w:p>
    <w:tbl>
      <w:tblPr>
        <w:tblStyle w:val="7"/>
        <w:tblW w:w="21368" w:type="dxa"/>
        <w:jc w:val="center"/>
        <w:tblLayout w:type="fixed"/>
        <w:tblCellMar>
          <w:top w:w="0" w:type="dxa"/>
          <w:left w:w="108" w:type="dxa"/>
          <w:bottom w:w="0" w:type="dxa"/>
          <w:right w:w="108" w:type="dxa"/>
        </w:tblCellMar>
      </w:tblPr>
      <w:tblGrid>
        <w:gridCol w:w="3225"/>
        <w:gridCol w:w="683"/>
        <w:gridCol w:w="2700"/>
        <w:gridCol w:w="3583"/>
        <w:gridCol w:w="717"/>
        <w:gridCol w:w="2670"/>
        <w:gridCol w:w="2720"/>
        <w:gridCol w:w="2820"/>
        <w:gridCol w:w="2250"/>
      </w:tblGrid>
      <w:tr>
        <w:tblPrEx>
          <w:tblCellMar>
            <w:top w:w="0" w:type="dxa"/>
            <w:left w:w="108" w:type="dxa"/>
            <w:bottom w:w="0" w:type="dxa"/>
            <w:right w:w="108" w:type="dxa"/>
          </w:tblCellMar>
        </w:tblPrEx>
        <w:trPr>
          <w:trHeight w:val="418" w:hRule="atLeast"/>
          <w:jc w:val="center"/>
        </w:trPr>
        <w:tc>
          <w:tcPr>
            <w:tcW w:w="21368" w:type="dxa"/>
            <w:gridSpan w:val="9"/>
            <w:tcBorders>
              <w:top w:val="nil"/>
              <w:left w:val="nil"/>
              <w:bottom w:val="nil"/>
              <w:right w:val="nil"/>
            </w:tcBorders>
            <w:shd w:val="clear" w:color="auto" w:fill="auto"/>
            <w:vAlign w:val="bottom"/>
          </w:tcPr>
          <w:p>
            <w:pPr>
              <w:ind w:left="-480" w:leftChars="-200"/>
              <w:jc w:val="center"/>
              <w:textAlignment w:val="bottom"/>
              <w:rPr>
                <w:rFonts w:hint="default" w:ascii="Times New Roman" w:hAnsi="Times New Roman" w:cs="Times New Roman"/>
                <w:color w:val="000000"/>
                <w:sz w:val="30"/>
                <w:szCs w:val="30"/>
              </w:rPr>
            </w:pPr>
            <w:r>
              <w:rPr>
                <w:rFonts w:hint="default" w:ascii="Times New Roman" w:hAnsi="Times New Roman" w:cs="Times New Roman"/>
                <w:b/>
                <w:bCs/>
                <w:color w:val="000000"/>
                <w:sz w:val="30"/>
                <w:szCs w:val="30"/>
              </w:rPr>
              <w:t>财政拨款收入支出决算表</w:t>
            </w:r>
          </w:p>
        </w:tc>
      </w:tr>
      <w:tr>
        <w:tblPrEx>
          <w:tblCellMar>
            <w:top w:w="0" w:type="dxa"/>
            <w:left w:w="108" w:type="dxa"/>
            <w:bottom w:w="0" w:type="dxa"/>
            <w:right w:w="108" w:type="dxa"/>
          </w:tblCellMar>
        </w:tblPrEx>
        <w:trPr>
          <w:trHeight w:val="255" w:hRule="atLeast"/>
          <w:jc w:val="center"/>
        </w:trPr>
        <w:tc>
          <w:tcPr>
            <w:tcW w:w="19118" w:type="dxa"/>
            <w:gridSpan w:val="8"/>
            <w:vMerge w:val="restart"/>
            <w:tcBorders>
              <w:top w:val="nil"/>
              <w:left w:val="nil"/>
              <w:right w:val="nil"/>
            </w:tcBorders>
            <w:shd w:val="clear" w:color="auto" w:fill="auto"/>
            <w:vAlign w:val="bottom"/>
          </w:tcPr>
          <w:p>
            <w:pP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单位：</w:t>
            </w:r>
            <w:r>
              <w:rPr>
                <w:rFonts w:hint="default" w:ascii="Times New Roman" w:hAnsi="Times New Roman" w:cs="Times New Roman"/>
                <w:color w:val="000000"/>
                <w:sz w:val="20"/>
              </w:rPr>
              <w:t>重庆市涪陵区同乐镇人民政府</w:t>
            </w:r>
          </w:p>
        </w:tc>
        <w:tc>
          <w:tcPr>
            <w:tcW w:w="2250" w:type="dxa"/>
            <w:tcBorders>
              <w:top w:val="nil"/>
              <w:left w:val="nil"/>
              <w:bottom w:val="nil"/>
              <w:right w:val="nil"/>
            </w:tcBorders>
            <w:shd w:val="clear" w:color="auto" w:fill="auto"/>
            <w:vAlign w:val="bottom"/>
          </w:tcPr>
          <w:p>
            <w:pPr>
              <w:jc w:val="right"/>
              <w:textAlignment w:val="bottom"/>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公开04表</w:t>
            </w:r>
          </w:p>
        </w:tc>
      </w:tr>
      <w:tr>
        <w:tblPrEx>
          <w:tblCellMar>
            <w:top w:w="0" w:type="dxa"/>
            <w:left w:w="108" w:type="dxa"/>
            <w:bottom w:w="0" w:type="dxa"/>
            <w:right w:w="108" w:type="dxa"/>
          </w:tblCellMar>
        </w:tblPrEx>
        <w:trPr>
          <w:trHeight w:val="255" w:hRule="atLeast"/>
          <w:jc w:val="center"/>
        </w:trPr>
        <w:tc>
          <w:tcPr>
            <w:tcW w:w="19118" w:type="dxa"/>
            <w:gridSpan w:val="8"/>
            <w:vMerge w:val="continue"/>
            <w:tcBorders>
              <w:left w:val="nil"/>
              <w:bottom w:val="nil"/>
              <w:right w:val="nil"/>
            </w:tcBorders>
            <w:shd w:val="clear" w:color="auto" w:fill="auto"/>
            <w:vAlign w:val="bottom"/>
          </w:tcPr>
          <w:p>
            <w:pPr>
              <w:rPr>
                <w:rFonts w:hint="default" w:ascii="Times New Roman" w:hAnsi="Times New Roman" w:cs="Times New Roman"/>
                <w:color w:val="000000"/>
                <w:sz w:val="20"/>
                <w:szCs w:val="20"/>
              </w:rPr>
            </w:pPr>
          </w:p>
        </w:tc>
        <w:tc>
          <w:tcPr>
            <w:tcW w:w="2250" w:type="dxa"/>
            <w:tcBorders>
              <w:top w:val="nil"/>
              <w:left w:val="nil"/>
              <w:bottom w:val="nil"/>
              <w:right w:val="nil"/>
            </w:tcBorders>
            <w:shd w:val="clear" w:color="auto" w:fill="auto"/>
            <w:vAlign w:val="bottom"/>
          </w:tcPr>
          <w:p>
            <w:pPr>
              <w:jc w:val="right"/>
              <w:textAlignment w:val="bottom"/>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单位：万元</w:t>
            </w:r>
          </w:p>
        </w:tc>
      </w:tr>
      <w:tr>
        <w:tblPrEx>
          <w:tblCellMar>
            <w:top w:w="0" w:type="dxa"/>
            <w:left w:w="108" w:type="dxa"/>
            <w:bottom w:w="0" w:type="dxa"/>
            <w:right w:w="108" w:type="dxa"/>
          </w:tblCellMar>
        </w:tblPrEx>
        <w:trPr>
          <w:trHeight w:val="308" w:hRule="atLeast"/>
          <w:jc w:val="center"/>
        </w:trPr>
        <w:tc>
          <w:tcPr>
            <w:tcW w:w="660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收     入</w:t>
            </w:r>
          </w:p>
        </w:tc>
        <w:tc>
          <w:tcPr>
            <w:tcW w:w="1476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支     出</w:t>
            </w:r>
          </w:p>
        </w:tc>
      </w:tr>
      <w:tr>
        <w:tblPrEx>
          <w:tblCellMar>
            <w:top w:w="0" w:type="dxa"/>
            <w:left w:w="108" w:type="dxa"/>
            <w:bottom w:w="0" w:type="dxa"/>
            <w:right w:w="108" w:type="dxa"/>
          </w:tblCellMar>
        </w:tblPrEx>
        <w:trPr>
          <w:trHeight w:val="312" w:hRule="atLeast"/>
          <w:jc w:val="center"/>
        </w:trPr>
        <w:tc>
          <w:tcPr>
            <w:tcW w:w="32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项目</w:t>
            </w:r>
          </w:p>
        </w:tc>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行次</w:t>
            </w:r>
          </w:p>
        </w:tc>
        <w:tc>
          <w:tcPr>
            <w:tcW w:w="27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金额</w:t>
            </w:r>
          </w:p>
        </w:tc>
        <w:tc>
          <w:tcPr>
            <w:tcW w:w="35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项目</w:t>
            </w:r>
          </w:p>
        </w:tc>
        <w:tc>
          <w:tcPr>
            <w:tcW w:w="7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行次</w:t>
            </w:r>
          </w:p>
        </w:tc>
        <w:tc>
          <w:tcPr>
            <w:tcW w:w="2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合计</w:t>
            </w:r>
          </w:p>
        </w:tc>
        <w:tc>
          <w:tcPr>
            <w:tcW w:w="27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一般公共预算财政拨款</w:t>
            </w:r>
          </w:p>
        </w:tc>
        <w:tc>
          <w:tcPr>
            <w:tcW w:w="28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政府性基金预算财政拨款</w:t>
            </w:r>
          </w:p>
        </w:tc>
        <w:tc>
          <w:tcPr>
            <w:tcW w:w="22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国有资本经营预算财政拨款</w:t>
            </w:r>
          </w:p>
        </w:tc>
      </w:tr>
      <w:tr>
        <w:tblPrEx>
          <w:tblCellMar>
            <w:top w:w="0" w:type="dxa"/>
            <w:left w:w="108" w:type="dxa"/>
            <w:bottom w:w="0" w:type="dxa"/>
            <w:right w:w="108" w:type="dxa"/>
          </w:tblCellMar>
        </w:tblPrEx>
        <w:trPr>
          <w:trHeight w:val="615" w:hRule="atLeast"/>
          <w:jc w:val="center"/>
        </w:trPr>
        <w:tc>
          <w:tcPr>
            <w:tcW w:w="32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cs="Times New Roman"/>
                <w:color w:val="000000"/>
                <w:sz w:val="22"/>
                <w:szCs w:val="22"/>
              </w:rPr>
            </w:pPr>
          </w:p>
        </w:tc>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cs="Times New Roman"/>
                <w:color w:val="000000"/>
                <w:sz w:val="22"/>
                <w:szCs w:val="22"/>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cs="Times New Roman"/>
                <w:color w:val="000000"/>
                <w:sz w:val="22"/>
                <w:szCs w:val="22"/>
              </w:rPr>
            </w:pPr>
          </w:p>
        </w:tc>
        <w:tc>
          <w:tcPr>
            <w:tcW w:w="35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cs="Times New Roman"/>
                <w:color w:val="000000"/>
                <w:sz w:val="22"/>
                <w:szCs w:val="22"/>
              </w:rPr>
            </w:pPr>
          </w:p>
        </w:tc>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cs="Times New Roman"/>
                <w:color w:val="000000"/>
                <w:sz w:val="22"/>
                <w:szCs w:val="22"/>
              </w:rPr>
            </w:pPr>
          </w:p>
        </w:tc>
        <w:tc>
          <w:tcPr>
            <w:tcW w:w="2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cs="Times New Roman"/>
                <w:color w:val="000000"/>
                <w:sz w:val="22"/>
                <w:szCs w:val="22"/>
              </w:rPr>
            </w:pPr>
          </w:p>
        </w:tc>
        <w:tc>
          <w:tcPr>
            <w:tcW w:w="27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cs="Times New Roman"/>
                <w:color w:val="000000"/>
                <w:sz w:val="22"/>
                <w:szCs w:val="22"/>
              </w:rPr>
            </w:pPr>
          </w:p>
        </w:tc>
        <w:tc>
          <w:tcPr>
            <w:tcW w:w="2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cs="Times New Roman"/>
                <w:color w:val="000000"/>
                <w:sz w:val="22"/>
                <w:szCs w:val="22"/>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cs="Times New Roman"/>
                <w:color w:val="000000"/>
                <w:sz w:val="22"/>
                <w:szCs w:val="22"/>
              </w:rPr>
            </w:pPr>
          </w:p>
        </w:tc>
      </w:tr>
      <w:tr>
        <w:tblPrEx>
          <w:tblCellMar>
            <w:top w:w="0" w:type="dxa"/>
            <w:left w:w="108" w:type="dxa"/>
            <w:bottom w:w="0" w:type="dxa"/>
            <w:right w:w="108" w:type="dxa"/>
          </w:tblCellMar>
        </w:tblPrEx>
        <w:trPr>
          <w:trHeight w:val="308" w:hRule="atLeast"/>
          <w:jc w:val="center"/>
        </w:trPr>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栏次</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cs="Times New Roman"/>
                <w:color w:val="000000"/>
                <w:sz w:val="22"/>
                <w:szCs w:val="22"/>
              </w:rPr>
            </w:pP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1</w:t>
            </w:r>
          </w:p>
        </w:tc>
        <w:tc>
          <w:tcPr>
            <w:tcW w:w="3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栏次</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cs="Times New Roman"/>
                <w:b/>
                <w:bCs/>
                <w:color w:val="000000"/>
                <w:sz w:val="22"/>
                <w:szCs w:val="22"/>
              </w:rPr>
            </w:pP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2</w:t>
            </w:r>
          </w:p>
        </w:tc>
        <w:tc>
          <w:tcPr>
            <w:tcW w:w="2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3</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4</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5</w:t>
            </w:r>
          </w:p>
        </w:tc>
      </w:tr>
      <w:tr>
        <w:tblPrEx>
          <w:tblCellMar>
            <w:top w:w="0" w:type="dxa"/>
            <w:left w:w="108" w:type="dxa"/>
            <w:bottom w:w="0" w:type="dxa"/>
            <w:right w:w="108" w:type="dxa"/>
          </w:tblCellMar>
        </w:tblPrEx>
        <w:trPr>
          <w:trHeight w:val="308" w:hRule="atLeast"/>
          <w:jc w:val="center"/>
        </w:trPr>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一、一般公共预算财政拨款</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1</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4125.97 </w:t>
            </w:r>
          </w:p>
        </w:tc>
        <w:tc>
          <w:tcPr>
            <w:tcW w:w="3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一、一般公共服务支出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33</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1208.53 </w:t>
            </w:r>
          </w:p>
        </w:tc>
        <w:tc>
          <w:tcPr>
            <w:tcW w:w="2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1208.53 </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0.00</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08" w:hRule="atLeast"/>
          <w:jc w:val="center"/>
        </w:trPr>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二、政府性基金预算财政拨款</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2</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4.00 </w:t>
            </w:r>
          </w:p>
        </w:tc>
        <w:tc>
          <w:tcPr>
            <w:tcW w:w="3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二、外交支出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34</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2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0.00</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08" w:hRule="atLeast"/>
          <w:jc w:val="center"/>
        </w:trPr>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三、国有资本经营预算财政拨款</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3</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3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三、国防支出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35</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2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0.00</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08" w:hRule="atLeast"/>
          <w:jc w:val="center"/>
        </w:trPr>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rPr>
                <w:rFonts w:hint="default" w:ascii="Times New Roman" w:hAnsi="Times New Roman" w:cs="Times New Roman"/>
                <w:b/>
                <w:bCs/>
                <w:color w:val="000000"/>
                <w:sz w:val="22"/>
                <w:szCs w:val="22"/>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4</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pageBreakBefore w:val="0"/>
              <w:widowControl/>
              <w:kinsoku/>
              <w:wordWrap/>
              <w:overflowPunct/>
              <w:topLinePunct w:val="0"/>
              <w:autoSpaceDE/>
              <w:autoSpaceDN/>
              <w:bidi w:val="0"/>
              <w:adjustRightInd/>
              <w:snapToGrid/>
              <w:spacing w:line="320" w:lineRule="exact"/>
              <w:rPr>
                <w:rFonts w:hint="default" w:ascii="Times New Roman" w:hAnsi="Times New Roman" w:cs="Times New Roman" w:eastAsiaTheme="minorEastAsia"/>
                <w:color w:val="000000"/>
                <w:sz w:val="22"/>
                <w:szCs w:val="22"/>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四、公共安全支出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36</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2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0.00</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08" w:hRule="atLeast"/>
          <w:jc w:val="center"/>
        </w:trPr>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rPr>
                <w:rFonts w:hint="default" w:ascii="Times New Roman" w:hAnsi="Times New Roman" w:cs="Times New Roman"/>
                <w:b/>
                <w:bCs/>
                <w:color w:val="000000"/>
                <w:sz w:val="22"/>
                <w:szCs w:val="22"/>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5</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pageBreakBefore w:val="0"/>
              <w:widowControl/>
              <w:kinsoku/>
              <w:wordWrap/>
              <w:overflowPunct/>
              <w:topLinePunct w:val="0"/>
              <w:autoSpaceDE/>
              <w:autoSpaceDN/>
              <w:bidi w:val="0"/>
              <w:adjustRightInd/>
              <w:snapToGrid/>
              <w:spacing w:line="320" w:lineRule="exact"/>
              <w:rPr>
                <w:rFonts w:hint="default" w:ascii="Times New Roman" w:hAnsi="Times New Roman" w:cs="Times New Roman" w:eastAsiaTheme="minorEastAsia"/>
                <w:color w:val="000000"/>
                <w:sz w:val="22"/>
                <w:szCs w:val="22"/>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五、教育支出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37</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2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0.00</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08" w:hRule="atLeast"/>
          <w:jc w:val="center"/>
        </w:trPr>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rPr>
                <w:rFonts w:hint="default" w:ascii="Times New Roman" w:hAnsi="Times New Roman" w:cs="Times New Roman"/>
                <w:b/>
                <w:bCs/>
                <w:color w:val="000000"/>
                <w:sz w:val="22"/>
                <w:szCs w:val="22"/>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6</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pageBreakBefore w:val="0"/>
              <w:widowControl/>
              <w:kinsoku/>
              <w:wordWrap/>
              <w:overflowPunct/>
              <w:topLinePunct w:val="0"/>
              <w:autoSpaceDE/>
              <w:autoSpaceDN/>
              <w:bidi w:val="0"/>
              <w:adjustRightInd/>
              <w:snapToGrid/>
              <w:spacing w:line="320" w:lineRule="exact"/>
              <w:rPr>
                <w:rFonts w:hint="default" w:ascii="Times New Roman" w:hAnsi="Times New Roman" w:cs="Times New Roman" w:eastAsiaTheme="minorEastAsia"/>
                <w:color w:val="000000"/>
                <w:sz w:val="22"/>
                <w:szCs w:val="22"/>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六、科学技术支出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38</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2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0.00</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08" w:hRule="atLeast"/>
          <w:jc w:val="center"/>
        </w:trPr>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rPr>
                <w:rFonts w:hint="default" w:ascii="Times New Roman" w:hAnsi="Times New Roman" w:cs="Times New Roman"/>
                <w:b/>
                <w:bCs/>
                <w:color w:val="000000"/>
                <w:sz w:val="22"/>
                <w:szCs w:val="22"/>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7</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pageBreakBefore w:val="0"/>
              <w:widowControl/>
              <w:kinsoku/>
              <w:wordWrap/>
              <w:overflowPunct/>
              <w:topLinePunct w:val="0"/>
              <w:autoSpaceDE/>
              <w:autoSpaceDN/>
              <w:bidi w:val="0"/>
              <w:adjustRightInd/>
              <w:snapToGrid/>
              <w:spacing w:line="320" w:lineRule="exact"/>
              <w:rPr>
                <w:rFonts w:hint="default" w:ascii="Times New Roman" w:hAnsi="Times New Roman" w:cs="Times New Roman" w:eastAsiaTheme="minorEastAsia"/>
                <w:color w:val="000000"/>
                <w:sz w:val="22"/>
                <w:szCs w:val="22"/>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七、文化旅游体育与传媒支出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39</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147.45 </w:t>
            </w:r>
          </w:p>
        </w:tc>
        <w:tc>
          <w:tcPr>
            <w:tcW w:w="2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147.45 </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0.00</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08" w:hRule="atLeast"/>
          <w:jc w:val="center"/>
        </w:trPr>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rPr>
                <w:rFonts w:hint="default" w:ascii="Times New Roman" w:hAnsi="Times New Roman" w:cs="Times New Roman"/>
                <w:b/>
                <w:bCs/>
                <w:color w:val="000000"/>
                <w:sz w:val="22"/>
                <w:szCs w:val="22"/>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8</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pageBreakBefore w:val="0"/>
              <w:widowControl/>
              <w:kinsoku/>
              <w:wordWrap/>
              <w:overflowPunct/>
              <w:topLinePunct w:val="0"/>
              <w:autoSpaceDE/>
              <w:autoSpaceDN/>
              <w:bidi w:val="0"/>
              <w:adjustRightInd/>
              <w:snapToGrid/>
              <w:spacing w:line="320" w:lineRule="exact"/>
              <w:rPr>
                <w:rFonts w:hint="default" w:ascii="Times New Roman" w:hAnsi="Times New Roman" w:cs="Times New Roman" w:eastAsiaTheme="minorEastAsia"/>
                <w:color w:val="000000"/>
                <w:sz w:val="22"/>
                <w:szCs w:val="22"/>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八、社会保障和就业支出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40</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549.98 </w:t>
            </w:r>
          </w:p>
        </w:tc>
        <w:tc>
          <w:tcPr>
            <w:tcW w:w="2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549.98 </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0.00</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08" w:hRule="atLeast"/>
          <w:jc w:val="center"/>
        </w:trPr>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rPr>
                <w:rFonts w:hint="default" w:ascii="Times New Roman" w:hAnsi="Times New Roman" w:cs="Times New Roman"/>
                <w:b/>
                <w:bCs/>
                <w:color w:val="000000"/>
                <w:sz w:val="22"/>
                <w:szCs w:val="22"/>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9</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pageBreakBefore w:val="0"/>
              <w:widowControl/>
              <w:kinsoku/>
              <w:wordWrap/>
              <w:overflowPunct/>
              <w:topLinePunct w:val="0"/>
              <w:autoSpaceDE/>
              <w:autoSpaceDN/>
              <w:bidi w:val="0"/>
              <w:adjustRightInd/>
              <w:snapToGrid/>
              <w:spacing w:line="320" w:lineRule="exact"/>
              <w:rPr>
                <w:rFonts w:hint="default" w:ascii="Times New Roman" w:hAnsi="Times New Roman" w:cs="Times New Roman" w:eastAsiaTheme="minorEastAsia"/>
                <w:color w:val="000000"/>
                <w:sz w:val="22"/>
                <w:szCs w:val="22"/>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九、卫生健康支出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41</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128.26 </w:t>
            </w:r>
          </w:p>
        </w:tc>
        <w:tc>
          <w:tcPr>
            <w:tcW w:w="2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128.26 </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0.00</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08" w:hRule="atLeast"/>
          <w:jc w:val="center"/>
        </w:trPr>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rPr>
                <w:rFonts w:hint="default" w:ascii="Times New Roman" w:hAnsi="Times New Roman" w:cs="Times New Roman"/>
                <w:b/>
                <w:bCs/>
                <w:color w:val="000000"/>
                <w:sz w:val="22"/>
                <w:szCs w:val="22"/>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10</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rPr>
                <w:rFonts w:hint="default" w:ascii="Times New Roman" w:hAnsi="Times New Roman" w:cs="Times New Roman" w:eastAsiaTheme="minorEastAsia"/>
                <w:color w:val="000000"/>
                <w:sz w:val="22"/>
                <w:szCs w:val="22"/>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十、节能环保支出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42</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237.04 </w:t>
            </w:r>
          </w:p>
        </w:tc>
        <w:tc>
          <w:tcPr>
            <w:tcW w:w="2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237.04 </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0.00</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08" w:hRule="atLeast"/>
          <w:jc w:val="center"/>
        </w:trPr>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rPr>
                <w:rFonts w:hint="default" w:ascii="Times New Roman" w:hAnsi="Times New Roman" w:cs="Times New Roman"/>
                <w:b/>
                <w:bCs/>
                <w:color w:val="000000"/>
                <w:sz w:val="22"/>
                <w:szCs w:val="22"/>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11</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rPr>
                <w:rFonts w:hint="default" w:ascii="Times New Roman" w:hAnsi="Times New Roman" w:cs="Times New Roman" w:eastAsiaTheme="minorEastAsia"/>
                <w:color w:val="000000"/>
                <w:sz w:val="22"/>
                <w:szCs w:val="22"/>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十一、城乡社区支出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43</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200.17 </w:t>
            </w:r>
          </w:p>
        </w:tc>
        <w:tc>
          <w:tcPr>
            <w:tcW w:w="2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200.17 </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0.00</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08" w:hRule="atLeast"/>
          <w:jc w:val="center"/>
        </w:trPr>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rPr>
                <w:rFonts w:hint="default" w:ascii="Times New Roman" w:hAnsi="Times New Roman" w:cs="Times New Roman"/>
                <w:b/>
                <w:bCs/>
                <w:color w:val="000000"/>
                <w:sz w:val="22"/>
                <w:szCs w:val="22"/>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12</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rPr>
                <w:rFonts w:hint="default" w:ascii="Times New Roman" w:hAnsi="Times New Roman" w:cs="Times New Roman" w:eastAsiaTheme="minorEastAsia"/>
                <w:color w:val="000000"/>
                <w:sz w:val="22"/>
                <w:szCs w:val="22"/>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十二、农林水支出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44</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764.91 </w:t>
            </w:r>
          </w:p>
        </w:tc>
        <w:tc>
          <w:tcPr>
            <w:tcW w:w="2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764.91 </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0.00</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08" w:hRule="atLeast"/>
          <w:jc w:val="center"/>
        </w:trPr>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rPr>
                <w:rFonts w:hint="default" w:ascii="Times New Roman" w:hAnsi="Times New Roman" w:cs="Times New Roman"/>
                <w:b/>
                <w:bCs/>
                <w:color w:val="000000"/>
                <w:sz w:val="22"/>
                <w:szCs w:val="22"/>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13</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rPr>
                <w:rFonts w:hint="default" w:ascii="Times New Roman" w:hAnsi="Times New Roman" w:cs="Times New Roman" w:eastAsiaTheme="minorEastAsia"/>
                <w:color w:val="000000"/>
                <w:sz w:val="22"/>
                <w:szCs w:val="22"/>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十三、交通运输支出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45</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2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0.00</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08" w:hRule="atLeast"/>
          <w:jc w:val="center"/>
        </w:trPr>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rPr>
                <w:rFonts w:hint="default" w:ascii="Times New Roman" w:hAnsi="Times New Roman" w:cs="Times New Roman"/>
                <w:b/>
                <w:bCs/>
                <w:color w:val="000000"/>
                <w:sz w:val="22"/>
                <w:szCs w:val="22"/>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14</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rPr>
                <w:rFonts w:hint="default" w:ascii="Times New Roman" w:hAnsi="Times New Roman" w:cs="Times New Roman" w:eastAsiaTheme="minorEastAsia"/>
                <w:color w:val="000000"/>
                <w:sz w:val="22"/>
                <w:szCs w:val="22"/>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十四、资源勘探工业信息等支出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46</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760.00 </w:t>
            </w:r>
          </w:p>
        </w:tc>
        <w:tc>
          <w:tcPr>
            <w:tcW w:w="2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760.00 </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0.00</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08" w:hRule="atLeast"/>
          <w:jc w:val="center"/>
        </w:trPr>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rPr>
                <w:rFonts w:hint="default" w:ascii="Times New Roman" w:hAnsi="Times New Roman" w:cs="Times New Roman"/>
                <w:b/>
                <w:bCs/>
                <w:color w:val="000000"/>
                <w:sz w:val="22"/>
                <w:szCs w:val="22"/>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15</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rPr>
                <w:rFonts w:hint="default" w:ascii="Times New Roman" w:hAnsi="Times New Roman" w:cs="Times New Roman" w:eastAsiaTheme="minorEastAsia"/>
                <w:color w:val="000000"/>
                <w:sz w:val="22"/>
                <w:szCs w:val="22"/>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十五、商业服务业等支出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47</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2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0.00</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08" w:hRule="atLeast"/>
          <w:jc w:val="center"/>
        </w:trPr>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rPr>
                <w:rFonts w:hint="default" w:ascii="Times New Roman" w:hAnsi="Times New Roman" w:cs="Times New Roman"/>
                <w:b/>
                <w:bCs/>
                <w:color w:val="000000"/>
                <w:sz w:val="22"/>
                <w:szCs w:val="22"/>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16</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rPr>
                <w:rFonts w:hint="default" w:ascii="Times New Roman" w:hAnsi="Times New Roman" w:cs="Times New Roman" w:eastAsiaTheme="minorEastAsia"/>
                <w:color w:val="000000"/>
                <w:sz w:val="22"/>
                <w:szCs w:val="22"/>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十六、金融支出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48</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2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0.00</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08" w:hRule="atLeast"/>
          <w:jc w:val="center"/>
        </w:trPr>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rPr>
                <w:rFonts w:hint="default" w:ascii="Times New Roman" w:hAnsi="Times New Roman" w:cs="Times New Roman"/>
                <w:b/>
                <w:bCs/>
                <w:color w:val="000000"/>
                <w:sz w:val="22"/>
                <w:szCs w:val="22"/>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17</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rPr>
                <w:rFonts w:hint="default" w:ascii="Times New Roman" w:hAnsi="Times New Roman" w:cs="Times New Roman" w:eastAsiaTheme="minorEastAsia"/>
                <w:color w:val="000000"/>
                <w:sz w:val="22"/>
                <w:szCs w:val="22"/>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十七、援助其他地区支出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49</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2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0.00</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08" w:hRule="atLeast"/>
          <w:jc w:val="center"/>
        </w:trPr>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rPr>
                <w:rFonts w:hint="default" w:ascii="Times New Roman" w:hAnsi="Times New Roman" w:cs="Times New Roman"/>
                <w:b/>
                <w:bCs/>
                <w:color w:val="000000"/>
                <w:sz w:val="22"/>
                <w:szCs w:val="22"/>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18</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rPr>
                <w:rFonts w:hint="default" w:ascii="Times New Roman" w:hAnsi="Times New Roman" w:cs="Times New Roman" w:eastAsiaTheme="minorEastAsia"/>
                <w:color w:val="000000"/>
                <w:sz w:val="22"/>
                <w:szCs w:val="22"/>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十八、自然资源海洋气象等支出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50</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2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0.00</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08" w:hRule="atLeast"/>
          <w:jc w:val="center"/>
        </w:trPr>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rPr>
                <w:rFonts w:hint="default" w:ascii="Times New Roman" w:hAnsi="Times New Roman" w:cs="Times New Roman"/>
                <w:b/>
                <w:bCs/>
                <w:color w:val="000000"/>
                <w:sz w:val="22"/>
                <w:szCs w:val="22"/>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19</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rPr>
                <w:rFonts w:hint="default" w:ascii="Times New Roman" w:hAnsi="Times New Roman" w:cs="Times New Roman" w:eastAsiaTheme="minorEastAsia"/>
                <w:color w:val="000000"/>
                <w:sz w:val="22"/>
                <w:szCs w:val="22"/>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十九、住房保障支出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51</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129.63 </w:t>
            </w:r>
          </w:p>
        </w:tc>
        <w:tc>
          <w:tcPr>
            <w:tcW w:w="2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129.63 </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0.00</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08" w:hRule="atLeast"/>
          <w:jc w:val="center"/>
        </w:trPr>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rPr>
                <w:rFonts w:hint="default" w:ascii="Times New Roman" w:hAnsi="Times New Roman" w:cs="Times New Roman"/>
                <w:b/>
                <w:bCs/>
                <w:color w:val="000000"/>
                <w:sz w:val="22"/>
                <w:szCs w:val="22"/>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20</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rPr>
                <w:rFonts w:hint="default" w:ascii="Times New Roman" w:hAnsi="Times New Roman" w:cs="Times New Roman" w:eastAsiaTheme="minorEastAsia"/>
                <w:color w:val="000000"/>
                <w:sz w:val="22"/>
                <w:szCs w:val="22"/>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二十、粮油物资储备支出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52</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2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0.00</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08" w:hRule="atLeast"/>
          <w:jc w:val="center"/>
        </w:trPr>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rPr>
                <w:rFonts w:hint="default" w:ascii="Times New Roman" w:hAnsi="Times New Roman" w:cs="Times New Roman"/>
                <w:b/>
                <w:bCs/>
                <w:color w:val="000000"/>
                <w:sz w:val="22"/>
                <w:szCs w:val="22"/>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21</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rPr>
                <w:rFonts w:hint="default" w:ascii="Times New Roman" w:hAnsi="Times New Roman" w:cs="Times New Roman" w:eastAsiaTheme="minorEastAsia"/>
                <w:color w:val="000000"/>
                <w:sz w:val="22"/>
                <w:szCs w:val="22"/>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二十一、国有资本经营预算支出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53</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2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0.00</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08" w:hRule="atLeast"/>
          <w:jc w:val="center"/>
        </w:trPr>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rPr>
                <w:rFonts w:hint="default" w:ascii="Times New Roman" w:hAnsi="Times New Roman" w:cs="Times New Roman"/>
                <w:b/>
                <w:bCs/>
                <w:color w:val="000000"/>
                <w:sz w:val="22"/>
                <w:szCs w:val="22"/>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22</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rPr>
                <w:rFonts w:hint="default" w:ascii="Times New Roman" w:hAnsi="Times New Roman" w:cs="Times New Roman" w:eastAsiaTheme="minorEastAsia"/>
                <w:color w:val="000000"/>
                <w:sz w:val="22"/>
                <w:szCs w:val="22"/>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二十二、灾害防治及应急管理支出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54</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2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0.00</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08" w:hRule="atLeast"/>
          <w:jc w:val="center"/>
        </w:trPr>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rPr>
                <w:rFonts w:hint="default" w:ascii="Times New Roman" w:hAnsi="Times New Roman" w:cs="Times New Roman"/>
                <w:b/>
                <w:bCs/>
                <w:color w:val="000000"/>
                <w:sz w:val="22"/>
                <w:szCs w:val="22"/>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23</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rPr>
                <w:rFonts w:hint="default" w:ascii="Times New Roman" w:hAnsi="Times New Roman" w:cs="Times New Roman" w:eastAsiaTheme="minorEastAsia"/>
                <w:color w:val="000000"/>
                <w:sz w:val="22"/>
                <w:szCs w:val="22"/>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二十三、其他支出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55</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4.00 </w:t>
            </w:r>
          </w:p>
        </w:tc>
        <w:tc>
          <w:tcPr>
            <w:tcW w:w="2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eastAsiaTheme="minorEastAsia"/>
                <w:color w:val="000000"/>
                <w:sz w:val="22"/>
                <w:szCs w:val="22"/>
              </w:rPr>
              <w:t xml:space="preserve">4.00 </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08" w:hRule="atLeast"/>
          <w:jc w:val="center"/>
        </w:trPr>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cs="Times New Roman"/>
                <w:b/>
                <w:bCs/>
                <w:color w:val="000000"/>
                <w:sz w:val="22"/>
                <w:szCs w:val="22"/>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24</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rPr>
                <w:rFonts w:hint="default" w:ascii="Times New Roman" w:hAnsi="Times New Roman" w:cs="Times New Roman" w:eastAsiaTheme="minorEastAsia"/>
                <w:color w:val="000000"/>
                <w:sz w:val="22"/>
                <w:szCs w:val="22"/>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二十四、债务还本支出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56</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2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0.00</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08" w:hRule="atLeast"/>
          <w:jc w:val="center"/>
        </w:trPr>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rPr>
                <w:rFonts w:hint="default" w:ascii="Times New Roman" w:hAnsi="Times New Roman" w:cs="Times New Roman"/>
                <w:b/>
                <w:bCs/>
                <w:color w:val="000000"/>
                <w:sz w:val="22"/>
                <w:szCs w:val="22"/>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25</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rPr>
                <w:rFonts w:hint="default" w:ascii="Times New Roman" w:hAnsi="Times New Roman" w:cs="Times New Roman" w:eastAsiaTheme="minorEastAsia"/>
                <w:color w:val="000000"/>
                <w:sz w:val="22"/>
                <w:szCs w:val="22"/>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二十五、债务付息支出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57</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2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0.00</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08" w:hRule="atLeast"/>
          <w:jc w:val="center"/>
        </w:trPr>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rPr>
                <w:rFonts w:hint="default" w:ascii="Times New Roman" w:hAnsi="Times New Roman" w:cs="Times New Roman"/>
                <w:b/>
                <w:bCs/>
                <w:color w:val="000000"/>
                <w:sz w:val="22"/>
                <w:szCs w:val="22"/>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26</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rPr>
                <w:rFonts w:hint="default" w:ascii="Times New Roman" w:hAnsi="Times New Roman" w:cs="Times New Roman" w:eastAsiaTheme="minorEastAsia"/>
                <w:color w:val="000000"/>
                <w:sz w:val="22"/>
                <w:szCs w:val="22"/>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二十六、抗疫特别国债安排的支出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58</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2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0.00</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08" w:hRule="atLeast"/>
          <w:jc w:val="center"/>
        </w:trPr>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本年收入合计</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27</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eastAsiaTheme="minorEastAsia"/>
                <w:color w:val="000000"/>
                <w:sz w:val="22"/>
                <w:szCs w:val="22"/>
              </w:rPr>
              <w:t xml:space="preserve">4129.97  </w:t>
            </w:r>
          </w:p>
        </w:tc>
        <w:tc>
          <w:tcPr>
            <w:tcW w:w="3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本年支出合计</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59</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4129.97 </w:t>
            </w:r>
          </w:p>
        </w:tc>
        <w:tc>
          <w:tcPr>
            <w:tcW w:w="2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4125.97 </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eastAsiaTheme="minorEastAsia"/>
                <w:color w:val="000000"/>
                <w:sz w:val="22"/>
                <w:szCs w:val="22"/>
              </w:rPr>
              <w:t xml:space="preserve">4.00 </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08" w:hRule="atLeast"/>
          <w:jc w:val="center"/>
        </w:trPr>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220" w:firstLineChars="100"/>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年初结转和结余</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28</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3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年末结转和结余</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60</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2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0.00</w:t>
            </w:r>
            <w:r>
              <w:rPr>
                <w:rFonts w:hint="default" w:ascii="Times New Roman" w:hAnsi="Times New Roman" w:cs="Times New Roman" w:eastAsiaTheme="minorEastAsia"/>
                <w:color w:val="000000"/>
                <w:sz w:val="22"/>
                <w:szCs w:val="22"/>
              </w:rPr>
              <w:t xml:space="preserve"> </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08" w:hRule="atLeast"/>
          <w:jc w:val="center"/>
        </w:trPr>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  一般公共预算财政拨款</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29</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3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rPr>
                <w:rFonts w:hint="default" w:ascii="Times New Roman" w:hAnsi="Times New Roman" w:cs="Times New Roman"/>
                <w:b/>
                <w:bCs/>
                <w:color w:val="000000"/>
                <w:sz w:val="20"/>
                <w:szCs w:val="20"/>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61</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pageBreakBefore w:val="0"/>
              <w:widowControl/>
              <w:kinsoku/>
              <w:wordWrap/>
              <w:overflowPunct/>
              <w:topLinePunct w:val="0"/>
              <w:autoSpaceDE/>
              <w:autoSpaceDN/>
              <w:bidi w:val="0"/>
              <w:adjustRightInd/>
              <w:snapToGrid/>
              <w:spacing w:line="320" w:lineRule="exact"/>
              <w:rPr>
                <w:rFonts w:hint="default" w:ascii="Times New Roman" w:hAnsi="Times New Roman" w:cs="Times New Roman" w:eastAsiaTheme="minorEastAsia"/>
                <w:color w:val="000000"/>
                <w:sz w:val="22"/>
                <w:szCs w:val="22"/>
              </w:rPr>
            </w:pPr>
          </w:p>
        </w:tc>
        <w:tc>
          <w:tcPr>
            <w:tcW w:w="272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pageBreakBefore w:val="0"/>
              <w:widowControl/>
              <w:kinsoku/>
              <w:wordWrap/>
              <w:overflowPunct/>
              <w:topLinePunct w:val="0"/>
              <w:autoSpaceDE/>
              <w:autoSpaceDN/>
              <w:bidi w:val="0"/>
              <w:adjustRightInd/>
              <w:snapToGrid/>
              <w:spacing w:line="320" w:lineRule="exact"/>
              <w:rPr>
                <w:rFonts w:hint="default" w:ascii="Times New Roman" w:hAnsi="Times New Roman" w:cs="Times New Roman" w:eastAsiaTheme="minorEastAsia"/>
                <w:color w:val="000000"/>
                <w:sz w:val="22"/>
                <w:szCs w:val="22"/>
              </w:rPr>
            </w:pP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pageBreakBefore w:val="0"/>
              <w:widowControl/>
              <w:kinsoku/>
              <w:wordWrap/>
              <w:overflowPunct/>
              <w:topLinePunct w:val="0"/>
              <w:autoSpaceDE/>
              <w:autoSpaceDN/>
              <w:bidi w:val="0"/>
              <w:adjustRightInd/>
              <w:snapToGrid/>
              <w:spacing w:line="320" w:lineRule="exact"/>
              <w:rPr>
                <w:rFonts w:hint="default" w:ascii="Times New Roman" w:hAnsi="Times New Roman" w:cs="Times New Roman" w:eastAsiaTheme="minorEastAsia"/>
                <w:color w:val="000000"/>
                <w:sz w:val="22"/>
                <w:szCs w:val="22"/>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pageBreakBefore w:val="0"/>
              <w:widowControl/>
              <w:kinsoku/>
              <w:wordWrap/>
              <w:overflowPunct/>
              <w:topLinePunct w:val="0"/>
              <w:autoSpaceDE/>
              <w:autoSpaceDN/>
              <w:bidi w:val="0"/>
              <w:adjustRightInd/>
              <w:snapToGrid/>
              <w:spacing w:line="320" w:lineRule="exact"/>
              <w:rPr>
                <w:rFonts w:hint="default" w:ascii="Times New Roman" w:hAnsi="Times New Roman" w:cs="Times New Roman" w:eastAsiaTheme="minorEastAsia"/>
                <w:color w:val="000000"/>
                <w:sz w:val="22"/>
                <w:szCs w:val="22"/>
              </w:rPr>
            </w:pPr>
          </w:p>
        </w:tc>
      </w:tr>
      <w:tr>
        <w:tblPrEx>
          <w:tblCellMar>
            <w:top w:w="0" w:type="dxa"/>
            <w:left w:w="108" w:type="dxa"/>
            <w:bottom w:w="0" w:type="dxa"/>
            <w:right w:w="108" w:type="dxa"/>
          </w:tblCellMar>
        </w:tblPrEx>
        <w:trPr>
          <w:trHeight w:val="308" w:hRule="atLeast"/>
          <w:jc w:val="center"/>
        </w:trPr>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  政府性基金预算财政拨款</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30</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3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rPr>
                <w:rFonts w:hint="default" w:ascii="Times New Roman" w:hAnsi="Times New Roman" w:cs="Times New Roman"/>
                <w:b/>
                <w:bCs/>
                <w:color w:val="000000"/>
                <w:sz w:val="20"/>
                <w:szCs w:val="20"/>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62</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rPr>
                <w:rFonts w:hint="default" w:ascii="Times New Roman" w:hAnsi="Times New Roman" w:cs="Times New Roman" w:eastAsiaTheme="minorEastAsia"/>
                <w:color w:val="000000"/>
                <w:sz w:val="22"/>
                <w:szCs w:val="22"/>
              </w:rPr>
            </w:pPr>
          </w:p>
        </w:tc>
        <w:tc>
          <w:tcPr>
            <w:tcW w:w="2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rPr>
                <w:rFonts w:hint="default" w:ascii="Times New Roman" w:hAnsi="Times New Roman" w:cs="Times New Roman" w:eastAsiaTheme="minorEastAsia"/>
                <w:color w:val="000000"/>
                <w:sz w:val="22"/>
                <w:szCs w:val="22"/>
              </w:rPr>
            </w:pP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rPr>
                <w:rFonts w:hint="default" w:ascii="Times New Roman" w:hAnsi="Times New Roman" w:cs="Times New Roman" w:eastAsiaTheme="minorEastAsia"/>
                <w:color w:val="000000"/>
                <w:sz w:val="22"/>
                <w:szCs w:val="22"/>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rPr>
                <w:rFonts w:hint="default" w:ascii="Times New Roman" w:hAnsi="Times New Roman" w:cs="Times New Roman" w:eastAsiaTheme="minorEastAsia"/>
                <w:color w:val="000000"/>
                <w:sz w:val="22"/>
                <w:szCs w:val="22"/>
              </w:rPr>
            </w:pPr>
          </w:p>
        </w:tc>
      </w:tr>
      <w:tr>
        <w:tblPrEx>
          <w:tblCellMar>
            <w:top w:w="0" w:type="dxa"/>
            <w:left w:w="108" w:type="dxa"/>
            <w:bottom w:w="0" w:type="dxa"/>
            <w:right w:w="108" w:type="dxa"/>
          </w:tblCellMar>
        </w:tblPrEx>
        <w:trPr>
          <w:trHeight w:val="308" w:hRule="atLeast"/>
          <w:jc w:val="center"/>
        </w:trPr>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  国有资本经营预算财政拨款</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31</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3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rPr>
                <w:rFonts w:hint="default" w:ascii="Times New Roman" w:hAnsi="Times New Roman" w:cs="Times New Roman"/>
                <w:b/>
                <w:bCs/>
                <w:color w:val="000000"/>
                <w:sz w:val="22"/>
                <w:szCs w:val="22"/>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63</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rPr>
                <w:rFonts w:hint="default" w:ascii="Times New Roman" w:hAnsi="Times New Roman" w:cs="Times New Roman" w:eastAsiaTheme="minorEastAsia"/>
                <w:color w:val="000000"/>
                <w:sz w:val="22"/>
                <w:szCs w:val="22"/>
              </w:rPr>
            </w:pPr>
          </w:p>
        </w:tc>
        <w:tc>
          <w:tcPr>
            <w:tcW w:w="2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rPr>
                <w:rFonts w:hint="default" w:ascii="Times New Roman" w:hAnsi="Times New Roman" w:cs="Times New Roman" w:eastAsiaTheme="minorEastAsia"/>
                <w:color w:val="000000"/>
                <w:sz w:val="22"/>
                <w:szCs w:val="22"/>
              </w:rPr>
            </w:pP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rPr>
                <w:rFonts w:hint="default" w:ascii="Times New Roman" w:hAnsi="Times New Roman" w:cs="Times New Roman" w:eastAsiaTheme="minorEastAsia"/>
                <w:color w:val="000000"/>
                <w:sz w:val="22"/>
                <w:szCs w:val="22"/>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rPr>
                <w:rFonts w:hint="default" w:ascii="Times New Roman" w:hAnsi="Times New Roman" w:cs="Times New Roman" w:eastAsiaTheme="minorEastAsia"/>
                <w:color w:val="000000"/>
                <w:sz w:val="22"/>
                <w:szCs w:val="22"/>
              </w:rPr>
            </w:pPr>
          </w:p>
        </w:tc>
      </w:tr>
      <w:tr>
        <w:tblPrEx>
          <w:tblCellMar>
            <w:top w:w="0" w:type="dxa"/>
            <w:left w:w="108" w:type="dxa"/>
            <w:bottom w:w="0" w:type="dxa"/>
            <w:right w:w="108" w:type="dxa"/>
          </w:tblCellMar>
        </w:tblPrEx>
        <w:trPr>
          <w:trHeight w:val="308" w:hRule="atLeast"/>
          <w:jc w:val="center"/>
        </w:trPr>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总计</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32</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eastAsiaTheme="minorEastAsia"/>
                <w:color w:val="000000"/>
                <w:sz w:val="22"/>
                <w:szCs w:val="22"/>
              </w:rPr>
              <w:t xml:space="preserve">4129.97 </w:t>
            </w:r>
          </w:p>
        </w:tc>
        <w:tc>
          <w:tcPr>
            <w:tcW w:w="3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总计</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64</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4129.97</w:t>
            </w:r>
            <w:r>
              <w:rPr>
                <w:rFonts w:hint="default" w:ascii="Times New Roman" w:hAnsi="Times New Roman" w:cs="Times New Roman" w:eastAsiaTheme="minorEastAsia"/>
                <w:color w:val="000000"/>
                <w:sz w:val="22"/>
                <w:szCs w:val="22"/>
              </w:rPr>
              <w:t xml:space="preserve"> </w:t>
            </w:r>
          </w:p>
        </w:tc>
        <w:tc>
          <w:tcPr>
            <w:tcW w:w="2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4129.97</w:t>
            </w:r>
            <w:r>
              <w:rPr>
                <w:rFonts w:hint="default" w:ascii="Times New Roman" w:hAnsi="Times New Roman" w:cs="Times New Roman" w:eastAsiaTheme="minorEastAsia"/>
                <w:color w:val="000000"/>
                <w:sz w:val="22"/>
                <w:szCs w:val="22"/>
              </w:rPr>
              <w:t xml:space="preserve"> </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eastAsiaTheme="minorEastAsia"/>
                <w:color w:val="000000"/>
                <w:sz w:val="22"/>
                <w:szCs w:val="22"/>
              </w:rPr>
              <w:t xml:space="preserve">4.00 </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eastAsiaTheme="minorEastAsia"/>
                <w:color w:val="000000"/>
                <w:sz w:val="22"/>
                <w:szCs w:val="22"/>
              </w:rPr>
              <w:t xml:space="preserve">0.00 </w:t>
            </w:r>
          </w:p>
        </w:tc>
      </w:tr>
    </w:tbl>
    <w:p>
      <w:pPr>
        <w:keepNext w:val="0"/>
        <w:keepLines w:val="0"/>
        <w:pageBreakBefore w:val="0"/>
        <w:widowControl/>
        <w:kinsoku/>
        <w:wordWrap/>
        <w:overflowPunct/>
        <w:topLinePunct w:val="0"/>
        <w:autoSpaceDE/>
        <w:autoSpaceDN/>
        <w:bidi w:val="0"/>
        <w:adjustRightInd/>
        <w:snapToGrid/>
        <w:spacing w:line="320" w:lineRule="exact"/>
        <w:rPr>
          <w:rFonts w:hint="default" w:ascii="Times New Roman" w:hAnsi="Times New Roman" w:cs="Times New Roman"/>
          <w:sz w:val="21"/>
          <w:szCs w:val="21"/>
        </w:rPr>
      </w:pPr>
      <w:r>
        <w:rPr>
          <w:rFonts w:hint="default" w:ascii="Times New Roman" w:hAnsi="Times New Roman" w:cs="Times New Roman"/>
          <w:sz w:val="20"/>
          <w:szCs w:val="20"/>
        </w:rPr>
        <w:t>备注：本表反映单位本年度一般公共预算财政拨款、政府性基金预算财政拨款及国有资本经营预算财政拨款的总收支和年末结转结余情况。本单位无相关数据，故本表为空。</w:t>
      </w:r>
      <w:r>
        <w:rPr>
          <w:rFonts w:hint="default" w:ascii="Times New Roman" w:hAnsi="Times New Roman" w:cs="Times New Roman"/>
          <w:sz w:val="20"/>
          <w:szCs w:val="20"/>
        </w:rPr>
        <w:br w:type="textWrapping"/>
      </w:r>
      <w:r>
        <w:rPr>
          <w:rFonts w:hint="default" w:ascii="Times New Roman" w:hAnsi="Times New Roman" w:cs="Times New Roman"/>
          <w:sz w:val="20"/>
          <w:szCs w:val="20"/>
        </w:rPr>
        <w:br w:type="textWrapping"/>
      </w:r>
      <w:r>
        <w:rPr>
          <w:rFonts w:hint="default" w:ascii="Times New Roman" w:hAnsi="Times New Roman" w:cs="Times New Roman"/>
          <w:sz w:val="21"/>
          <w:szCs w:val="21"/>
        </w:rPr>
        <w:br w:type="page"/>
      </w:r>
    </w:p>
    <w:tbl>
      <w:tblPr>
        <w:tblStyle w:val="7"/>
        <w:tblW w:w="21810" w:type="dxa"/>
        <w:tblInd w:w="-625" w:type="dxa"/>
        <w:tblLayout w:type="fixed"/>
        <w:tblCellMar>
          <w:top w:w="0" w:type="dxa"/>
          <w:left w:w="108" w:type="dxa"/>
          <w:bottom w:w="0" w:type="dxa"/>
          <w:right w:w="108" w:type="dxa"/>
        </w:tblCellMar>
      </w:tblPr>
      <w:tblGrid>
        <w:gridCol w:w="410"/>
        <w:gridCol w:w="475"/>
        <w:gridCol w:w="462"/>
        <w:gridCol w:w="3175"/>
        <w:gridCol w:w="750"/>
        <w:gridCol w:w="888"/>
        <w:gridCol w:w="1025"/>
        <w:gridCol w:w="1278"/>
        <w:gridCol w:w="1545"/>
        <w:gridCol w:w="1425"/>
        <w:gridCol w:w="1545"/>
        <w:gridCol w:w="1560"/>
        <w:gridCol w:w="1440"/>
        <w:gridCol w:w="1590"/>
        <w:gridCol w:w="1500"/>
        <w:gridCol w:w="1395"/>
        <w:gridCol w:w="1347"/>
      </w:tblGrid>
      <w:tr>
        <w:tblPrEx>
          <w:tblCellMar>
            <w:top w:w="0" w:type="dxa"/>
            <w:left w:w="108" w:type="dxa"/>
            <w:bottom w:w="0" w:type="dxa"/>
            <w:right w:w="108" w:type="dxa"/>
          </w:tblCellMar>
        </w:tblPrEx>
        <w:trPr>
          <w:trHeight w:val="598" w:hRule="atLeast"/>
        </w:trPr>
        <w:tc>
          <w:tcPr>
            <w:tcW w:w="21810" w:type="dxa"/>
            <w:gridSpan w:val="17"/>
            <w:tcBorders>
              <w:top w:val="nil"/>
              <w:left w:val="nil"/>
              <w:bottom w:val="nil"/>
              <w:right w:val="nil"/>
            </w:tcBorders>
            <w:shd w:val="clear" w:color="auto" w:fill="auto"/>
            <w:vAlign w:val="bottom"/>
          </w:tcPr>
          <w:p>
            <w:pPr>
              <w:jc w:val="center"/>
              <w:textAlignment w:val="bottom"/>
              <w:rPr>
                <w:rFonts w:hint="default" w:ascii="Times New Roman" w:hAnsi="Times New Roman" w:cs="Times New Roman"/>
                <w:color w:val="000000"/>
                <w:sz w:val="30"/>
                <w:szCs w:val="30"/>
              </w:rPr>
            </w:pPr>
            <w:r>
              <w:rPr>
                <w:rFonts w:hint="default" w:ascii="Times New Roman" w:hAnsi="Times New Roman" w:cs="Times New Roman"/>
                <w:b/>
                <w:bCs/>
                <w:color w:val="000000"/>
                <w:sz w:val="30"/>
                <w:szCs w:val="30"/>
              </w:rPr>
              <w:t>一般公共预算财政拨款收入支出决算表</w:t>
            </w:r>
          </w:p>
        </w:tc>
      </w:tr>
      <w:tr>
        <w:tblPrEx>
          <w:tblCellMar>
            <w:top w:w="0" w:type="dxa"/>
            <w:left w:w="108" w:type="dxa"/>
            <w:bottom w:w="0" w:type="dxa"/>
            <w:right w:w="108" w:type="dxa"/>
          </w:tblCellMar>
        </w:tblPrEx>
        <w:trPr>
          <w:trHeight w:val="299" w:hRule="atLeast"/>
        </w:trPr>
        <w:tc>
          <w:tcPr>
            <w:tcW w:w="20463" w:type="dxa"/>
            <w:gridSpan w:val="16"/>
            <w:vMerge w:val="restart"/>
            <w:tcBorders>
              <w:top w:val="nil"/>
              <w:left w:val="nil"/>
              <w:right w:val="nil"/>
            </w:tcBorders>
            <w:shd w:val="clear" w:color="auto" w:fill="auto"/>
            <w:vAlign w:val="bottom"/>
          </w:tcPr>
          <w:p>
            <w:pPr>
              <w:rPr>
                <w:rFonts w:hint="default" w:ascii="Times New Roman" w:hAnsi="Times New Roman" w:cs="Times New Roman"/>
                <w:color w:val="000000"/>
                <w:sz w:val="20"/>
                <w:szCs w:val="20"/>
              </w:rPr>
            </w:pPr>
            <w:r>
              <w:rPr>
                <w:rFonts w:hint="default" w:ascii="Times New Roman" w:hAnsi="Times New Roman" w:cs="Times New Roman"/>
                <w:sz w:val="20"/>
                <w:szCs w:val="20"/>
              </w:rPr>
              <w:t>单位</w:t>
            </w:r>
            <w:r>
              <w:rPr>
                <w:rFonts w:hint="default" w:ascii="Times New Roman" w:hAnsi="Times New Roman" w:cs="Times New Roman"/>
                <w:color w:val="000000"/>
                <w:sz w:val="20"/>
                <w:szCs w:val="20"/>
              </w:rPr>
              <w:t>：</w:t>
            </w:r>
            <w:r>
              <w:rPr>
                <w:rFonts w:hint="default" w:ascii="Times New Roman" w:hAnsi="Times New Roman" w:cs="Times New Roman"/>
                <w:color w:val="000000"/>
                <w:sz w:val="20"/>
              </w:rPr>
              <w:t>重庆市涪陵区同乐镇人民政府</w:t>
            </w:r>
          </w:p>
        </w:tc>
        <w:tc>
          <w:tcPr>
            <w:tcW w:w="1347" w:type="dxa"/>
            <w:tcBorders>
              <w:top w:val="nil"/>
              <w:left w:val="nil"/>
              <w:bottom w:val="nil"/>
              <w:right w:val="nil"/>
            </w:tcBorders>
            <w:shd w:val="clear" w:color="auto" w:fill="auto"/>
            <w:vAlign w:val="bottom"/>
          </w:tcPr>
          <w:p>
            <w:pPr>
              <w:jc w:val="right"/>
              <w:textAlignment w:val="bottom"/>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公开05表</w:t>
            </w:r>
          </w:p>
        </w:tc>
      </w:tr>
      <w:tr>
        <w:tblPrEx>
          <w:tblCellMar>
            <w:top w:w="0" w:type="dxa"/>
            <w:left w:w="108" w:type="dxa"/>
            <w:bottom w:w="0" w:type="dxa"/>
            <w:right w:w="108" w:type="dxa"/>
          </w:tblCellMar>
        </w:tblPrEx>
        <w:trPr>
          <w:trHeight w:val="299" w:hRule="atLeast"/>
        </w:trPr>
        <w:tc>
          <w:tcPr>
            <w:tcW w:w="20463" w:type="dxa"/>
            <w:gridSpan w:val="16"/>
            <w:vMerge w:val="continue"/>
            <w:tcBorders>
              <w:left w:val="nil"/>
              <w:bottom w:val="nil"/>
              <w:right w:val="nil"/>
            </w:tcBorders>
            <w:shd w:val="clear" w:color="auto" w:fill="auto"/>
            <w:vAlign w:val="bottom"/>
          </w:tcPr>
          <w:p>
            <w:pPr>
              <w:rPr>
                <w:rFonts w:hint="default" w:ascii="Times New Roman" w:hAnsi="Times New Roman" w:cs="Times New Roman"/>
                <w:color w:val="000000"/>
                <w:sz w:val="20"/>
                <w:szCs w:val="20"/>
              </w:rPr>
            </w:pPr>
          </w:p>
        </w:tc>
        <w:tc>
          <w:tcPr>
            <w:tcW w:w="1347" w:type="dxa"/>
            <w:tcBorders>
              <w:top w:val="nil"/>
              <w:left w:val="nil"/>
              <w:bottom w:val="nil"/>
              <w:right w:val="nil"/>
            </w:tcBorders>
            <w:shd w:val="clear" w:color="auto" w:fill="auto"/>
            <w:vAlign w:val="bottom"/>
          </w:tcPr>
          <w:p>
            <w:pPr>
              <w:jc w:val="right"/>
              <w:textAlignment w:val="bottom"/>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单位：万元</w:t>
            </w:r>
          </w:p>
        </w:tc>
      </w:tr>
      <w:tr>
        <w:tblPrEx>
          <w:tblCellMar>
            <w:top w:w="0" w:type="dxa"/>
            <w:left w:w="108" w:type="dxa"/>
            <w:bottom w:w="0" w:type="dxa"/>
            <w:right w:w="108" w:type="dxa"/>
          </w:tblCellMar>
        </w:tblPrEx>
        <w:trPr>
          <w:trHeight w:val="393" w:hRule="atLeast"/>
        </w:trPr>
        <w:tc>
          <w:tcPr>
            <w:tcW w:w="134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科目代码</w:t>
            </w:r>
          </w:p>
        </w:tc>
        <w:tc>
          <w:tcPr>
            <w:tcW w:w="3175" w:type="dxa"/>
            <w:vMerge w:val="restart"/>
            <w:tcBorders>
              <w:top w:val="single" w:color="000000" w:sz="4" w:space="0"/>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科目名称</w:t>
            </w:r>
          </w:p>
        </w:tc>
        <w:tc>
          <w:tcPr>
            <w:tcW w:w="2663" w:type="dxa"/>
            <w:gridSpan w:val="3"/>
            <w:tcBorders>
              <w:top w:val="single" w:color="000000" w:sz="4" w:space="0"/>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年初结转和结余</w:t>
            </w:r>
          </w:p>
        </w:tc>
        <w:tc>
          <w:tcPr>
            <w:tcW w:w="4248" w:type="dxa"/>
            <w:gridSpan w:val="3"/>
            <w:tcBorders>
              <w:top w:val="single" w:color="000000" w:sz="4" w:space="0"/>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本年收入</w:t>
            </w:r>
          </w:p>
        </w:tc>
        <w:tc>
          <w:tcPr>
            <w:tcW w:w="4545" w:type="dxa"/>
            <w:gridSpan w:val="3"/>
            <w:tcBorders>
              <w:top w:val="single" w:color="000000" w:sz="4" w:space="0"/>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本年支出</w:t>
            </w:r>
          </w:p>
        </w:tc>
        <w:tc>
          <w:tcPr>
            <w:tcW w:w="5832" w:type="dxa"/>
            <w:gridSpan w:val="4"/>
            <w:tcBorders>
              <w:top w:val="single" w:color="000000" w:sz="4" w:space="0"/>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年末结转和结余</w:t>
            </w:r>
          </w:p>
        </w:tc>
      </w:tr>
      <w:tr>
        <w:tblPrEx>
          <w:tblCellMar>
            <w:top w:w="0" w:type="dxa"/>
            <w:left w:w="108" w:type="dxa"/>
            <w:bottom w:w="0" w:type="dxa"/>
            <w:right w:w="108" w:type="dxa"/>
          </w:tblCellMar>
        </w:tblPrEx>
        <w:trPr>
          <w:trHeight w:val="393" w:hRule="atLeast"/>
        </w:trPr>
        <w:tc>
          <w:tcPr>
            <w:tcW w:w="134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b/>
                <w:bCs/>
                <w:color w:val="000000"/>
                <w:sz w:val="22"/>
                <w:szCs w:val="22"/>
              </w:rPr>
            </w:pPr>
          </w:p>
        </w:tc>
        <w:tc>
          <w:tcPr>
            <w:tcW w:w="3175" w:type="dxa"/>
            <w:vMerge w:val="continue"/>
            <w:tcBorders>
              <w:top w:val="single" w:color="000000" w:sz="4" w:space="0"/>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b/>
                <w:bCs/>
                <w:color w:val="000000"/>
                <w:sz w:val="22"/>
                <w:szCs w:val="22"/>
              </w:rPr>
            </w:pPr>
          </w:p>
        </w:tc>
        <w:tc>
          <w:tcPr>
            <w:tcW w:w="750" w:type="dxa"/>
            <w:vMerge w:val="restart"/>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合计</w:t>
            </w:r>
          </w:p>
        </w:tc>
        <w:tc>
          <w:tcPr>
            <w:tcW w:w="888" w:type="dxa"/>
            <w:vMerge w:val="restart"/>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基本支出结转</w:t>
            </w:r>
          </w:p>
        </w:tc>
        <w:tc>
          <w:tcPr>
            <w:tcW w:w="1025" w:type="dxa"/>
            <w:vMerge w:val="restart"/>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项目支出结转和结余</w:t>
            </w:r>
          </w:p>
        </w:tc>
        <w:tc>
          <w:tcPr>
            <w:tcW w:w="1278" w:type="dxa"/>
            <w:vMerge w:val="restart"/>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合计</w:t>
            </w:r>
          </w:p>
        </w:tc>
        <w:tc>
          <w:tcPr>
            <w:tcW w:w="1545" w:type="dxa"/>
            <w:vMerge w:val="restart"/>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基本支出</w:t>
            </w:r>
          </w:p>
        </w:tc>
        <w:tc>
          <w:tcPr>
            <w:tcW w:w="1425" w:type="dxa"/>
            <w:vMerge w:val="restart"/>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项目支出</w:t>
            </w:r>
          </w:p>
        </w:tc>
        <w:tc>
          <w:tcPr>
            <w:tcW w:w="1545" w:type="dxa"/>
            <w:vMerge w:val="restart"/>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合计</w:t>
            </w:r>
          </w:p>
        </w:tc>
        <w:tc>
          <w:tcPr>
            <w:tcW w:w="1560" w:type="dxa"/>
            <w:vMerge w:val="restart"/>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基本支出</w:t>
            </w:r>
          </w:p>
        </w:tc>
        <w:tc>
          <w:tcPr>
            <w:tcW w:w="1440" w:type="dxa"/>
            <w:vMerge w:val="restart"/>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项目支出</w:t>
            </w:r>
          </w:p>
        </w:tc>
        <w:tc>
          <w:tcPr>
            <w:tcW w:w="1590" w:type="dxa"/>
            <w:vMerge w:val="restart"/>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合计</w:t>
            </w:r>
          </w:p>
        </w:tc>
        <w:tc>
          <w:tcPr>
            <w:tcW w:w="1500" w:type="dxa"/>
            <w:vMerge w:val="restart"/>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基本支出结转</w:t>
            </w:r>
          </w:p>
        </w:tc>
        <w:tc>
          <w:tcPr>
            <w:tcW w:w="2742" w:type="dxa"/>
            <w:gridSpan w:val="2"/>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项目支出结转和结余</w:t>
            </w:r>
          </w:p>
        </w:tc>
      </w:tr>
      <w:tr>
        <w:tblPrEx>
          <w:tblCellMar>
            <w:top w:w="0" w:type="dxa"/>
            <w:left w:w="108" w:type="dxa"/>
            <w:bottom w:w="0" w:type="dxa"/>
            <w:right w:w="108" w:type="dxa"/>
          </w:tblCellMar>
        </w:tblPrEx>
        <w:trPr>
          <w:trHeight w:val="400" w:hRule="atLeast"/>
        </w:trPr>
        <w:tc>
          <w:tcPr>
            <w:tcW w:w="134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b/>
                <w:bCs/>
                <w:color w:val="000000"/>
                <w:sz w:val="22"/>
                <w:szCs w:val="22"/>
              </w:rPr>
            </w:pPr>
          </w:p>
        </w:tc>
        <w:tc>
          <w:tcPr>
            <w:tcW w:w="3175" w:type="dxa"/>
            <w:vMerge w:val="continue"/>
            <w:tcBorders>
              <w:top w:val="single" w:color="000000" w:sz="4" w:space="0"/>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b/>
                <w:bCs/>
                <w:color w:val="000000"/>
                <w:sz w:val="22"/>
                <w:szCs w:val="22"/>
              </w:rPr>
            </w:pPr>
          </w:p>
        </w:tc>
        <w:tc>
          <w:tcPr>
            <w:tcW w:w="750" w:type="dxa"/>
            <w:vMerge w:val="continue"/>
            <w:tcBorders>
              <w:top w:val="nil"/>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b/>
                <w:bCs/>
                <w:color w:val="000000"/>
                <w:sz w:val="22"/>
                <w:szCs w:val="22"/>
              </w:rPr>
            </w:pPr>
          </w:p>
        </w:tc>
        <w:tc>
          <w:tcPr>
            <w:tcW w:w="888" w:type="dxa"/>
            <w:vMerge w:val="continue"/>
            <w:tcBorders>
              <w:top w:val="nil"/>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b/>
                <w:bCs/>
                <w:color w:val="000000"/>
                <w:sz w:val="22"/>
                <w:szCs w:val="22"/>
              </w:rPr>
            </w:pPr>
          </w:p>
        </w:tc>
        <w:tc>
          <w:tcPr>
            <w:tcW w:w="1025" w:type="dxa"/>
            <w:vMerge w:val="continue"/>
            <w:tcBorders>
              <w:top w:val="nil"/>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b/>
                <w:bCs/>
                <w:color w:val="000000"/>
                <w:sz w:val="22"/>
                <w:szCs w:val="22"/>
              </w:rPr>
            </w:pPr>
          </w:p>
        </w:tc>
        <w:tc>
          <w:tcPr>
            <w:tcW w:w="1278" w:type="dxa"/>
            <w:vMerge w:val="continue"/>
            <w:tcBorders>
              <w:top w:val="nil"/>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b/>
                <w:bCs/>
                <w:color w:val="000000"/>
                <w:sz w:val="22"/>
                <w:szCs w:val="22"/>
              </w:rPr>
            </w:pPr>
          </w:p>
        </w:tc>
        <w:tc>
          <w:tcPr>
            <w:tcW w:w="1545" w:type="dxa"/>
            <w:vMerge w:val="continue"/>
            <w:tcBorders>
              <w:top w:val="nil"/>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b/>
                <w:bCs/>
                <w:color w:val="000000"/>
                <w:sz w:val="22"/>
                <w:szCs w:val="22"/>
              </w:rPr>
            </w:pPr>
          </w:p>
        </w:tc>
        <w:tc>
          <w:tcPr>
            <w:tcW w:w="1425" w:type="dxa"/>
            <w:vMerge w:val="continue"/>
            <w:tcBorders>
              <w:top w:val="nil"/>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b/>
                <w:bCs/>
                <w:color w:val="000000"/>
                <w:sz w:val="22"/>
                <w:szCs w:val="22"/>
              </w:rPr>
            </w:pPr>
          </w:p>
        </w:tc>
        <w:tc>
          <w:tcPr>
            <w:tcW w:w="1545" w:type="dxa"/>
            <w:vMerge w:val="continue"/>
            <w:tcBorders>
              <w:top w:val="nil"/>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b/>
                <w:bCs/>
                <w:color w:val="000000"/>
                <w:sz w:val="22"/>
                <w:szCs w:val="22"/>
              </w:rPr>
            </w:pPr>
          </w:p>
        </w:tc>
        <w:tc>
          <w:tcPr>
            <w:tcW w:w="1560" w:type="dxa"/>
            <w:vMerge w:val="continue"/>
            <w:tcBorders>
              <w:top w:val="nil"/>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b/>
                <w:bCs/>
                <w:color w:val="000000"/>
                <w:sz w:val="22"/>
                <w:szCs w:val="22"/>
              </w:rPr>
            </w:pPr>
          </w:p>
        </w:tc>
        <w:tc>
          <w:tcPr>
            <w:tcW w:w="1440" w:type="dxa"/>
            <w:vMerge w:val="continue"/>
            <w:tcBorders>
              <w:top w:val="nil"/>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b/>
                <w:bCs/>
                <w:color w:val="000000"/>
                <w:sz w:val="22"/>
                <w:szCs w:val="22"/>
              </w:rPr>
            </w:pPr>
          </w:p>
        </w:tc>
        <w:tc>
          <w:tcPr>
            <w:tcW w:w="1590" w:type="dxa"/>
            <w:vMerge w:val="continue"/>
            <w:tcBorders>
              <w:top w:val="nil"/>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b/>
                <w:bCs/>
                <w:color w:val="000000"/>
                <w:sz w:val="22"/>
                <w:szCs w:val="22"/>
              </w:rPr>
            </w:pPr>
          </w:p>
        </w:tc>
        <w:tc>
          <w:tcPr>
            <w:tcW w:w="1500" w:type="dxa"/>
            <w:vMerge w:val="continue"/>
            <w:tcBorders>
              <w:top w:val="nil"/>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b/>
                <w:bCs/>
                <w:color w:val="000000"/>
                <w:sz w:val="22"/>
                <w:szCs w:val="22"/>
              </w:rPr>
            </w:pPr>
          </w:p>
        </w:tc>
        <w:tc>
          <w:tcPr>
            <w:tcW w:w="1395" w:type="dxa"/>
            <w:vMerge w:val="restart"/>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项目支出结转</w:t>
            </w:r>
          </w:p>
        </w:tc>
        <w:tc>
          <w:tcPr>
            <w:tcW w:w="1347" w:type="dxa"/>
            <w:vMerge w:val="restart"/>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项目支出结余</w:t>
            </w:r>
          </w:p>
        </w:tc>
      </w:tr>
      <w:tr>
        <w:tblPrEx>
          <w:tblCellMar>
            <w:top w:w="0" w:type="dxa"/>
            <w:left w:w="108" w:type="dxa"/>
            <w:bottom w:w="0" w:type="dxa"/>
            <w:right w:w="108" w:type="dxa"/>
          </w:tblCellMar>
        </w:tblPrEx>
        <w:trPr>
          <w:trHeight w:val="468" w:hRule="atLeast"/>
        </w:trPr>
        <w:tc>
          <w:tcPr>
            <w:tcW w:w="134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color w:val="000000"/>
                <w:sz w:val="22"/>
                <w:szCs w:val="22"/>
              </w:rPr>
            </w:pPr>
          </w:p>
        </w:tc>
        <w:tc>
          <w:tcPr>
            <w:tcW w:w="3175" w:type="dxa"/>
            <w:vMerge w:val="continue"/>
            <w:tcBorders>
              <w:top w:val="single" w:color="000000" w:sz="4" w:space="0"/>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color w:val="000000"/>
                <w:sz w:val="22"/>
                <w:szCs w:val="22"/>
              </w:rPr>
            </w:pPr>
          </w:p>
        </w:tc>
        <w:tc>
          <w:tcPr>
            <w:tcW w:w="750" w:type="dxa"/>
            <w:vMerge w:val="continue"/>
            <w:tcBorders>
              <w:top w:val="nil"/>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color w:val="000000"/>
                <w:sz w:val="22"/>
                <w:szCs w:val="22"/>
              </w:rPr>
            </w:pPr>
          </w:p>
        </w:tc>
        <w:tc>
          <w:tcPr>
            <w:tcW w:w="888" w:type="dxa"/>
            <w:vMerge w:val="continue"/>
            <w:tcBorders>
              <w:top w:val="nil"/>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color w:val="000000"/>
                <w:sz w:val="22"/>
                <w:szCs w:val="22"/>
              </w:rPr>
            </w:pPr>
          </w:p>
        </w:tc>
        <w:tc>
          <w:tcPr>
            <w:tcW w:w="1025" w:type="dxa"/>
            <w:vMerge w:val="continue"/>
            <w:tcBorders>
              <w:top w:val="nil"/>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color w:val="000000"/>
                <w:sz w:val="22"/>
                <w:szCs w:val="22"/>
              </w:rPr>
            </w:pPr>
          </w:p>
        </w:tc>
        <w:tc>
          <w:tcPr>
            <w:tcW w:w="1278" w:type="dxa"/>
            <w:vMerge w:val="continue"/>
            <w:tcBorders>
              <w:top w:val="nil"/>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color w:val="000000"/>
                <w:sz w:val="22"/>
                <w:szCs w:val="22"/>
              </w:rPr>
            </w:pPr>
          </w:p>
        </w:tc>
        <w:tc>
          <w:tcPr>
            <w:tcW w:w="1545" w:type="dxa"/>
            <w:vMerge w:val="continue"/>
            <w:tcBorders>
              <w:top w:val="nil"/>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color w:val="000000"/>
                <w:sz w:val="22"/>
                <w:szCs w:val="22"/>
              </w:rPr>
            </w:pPr>
          </w:p>
        </w:tc>
        <w:tc>
          <w:tcPr>
            <w:tcW w:w="1425" w:type="dxa"/>
            <w:vMerge w:val="continue"/>
            <w:tcBorders>
              <w:top w:val="nil"/>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color w:val="000000"/>
                <w:sz w:val="22"/>
                <w:szCs w:val="22"/>
              </w:rPr>
            </w:pPr>
          </w:p>
        </w:tc>
        <w:tc>
          <w:tcPr>
            <w:tcW w:w="1545" w:type="dxa"/>
            <w:vMerge w:val="continue"/>
            <w:tcBorders>
              <w:top w:val="nil"/>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color w:val="000000"/>
                <w:sz w:val="22"/>
                <w:szCs w:val="22"/>
              </w:rPr>
            </w:pPr>
          </w:p>
        </w:tc>
        <w:tc>
          <w:tcPr>
            <w:tcW w:w="1560" w:type="dxa"/>
            <w:vMerge w:val="continue"/>
            <w:tcBorders>
              <w:top w:val="nil"/>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color w:val="000000"/>
                <w:sz w:val="22"/>
                <w:szCs w:val="22"/>
              </w:rPr>
            </w:pPr>
          </w:p>
        </w:tc>
        <w:tc>
          <w:tcPr>
            <w:tcW w:w="1440" w:type="dxa"/>
            <w:vMerge w:val="continue"/>
            <w:tcBorders>
              <w:top w:val="nil"/>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color w:val="000000"/>
                <w:sz w:val="22"/>
                <w:szCs w:val="22"/>
              </w:rPr>
            </w:pPr>
          </w:p>
        </w:tc>
        <w:tc>
          <w:tcPr>
            <w:tcW w:w="1590" w:type="dxa"/>
            <w:vMerge w:val="continue"/>
            <w:tcBorders>
              <w:top w:val="nil"/>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color w:val="000000"/>
                <w:sz w:val="22"/>
                <w:szCs w:val="22"/>
              </w:rPr>
            </w:pPr>
          </w:p>
        </w:tc>
        <w:tc>
          <w:tcPr>
            <w:tcW w:w="1500" w:type="dxa"/>
            <w:vMerge w:val="continue"/>
            <w:tcBorders>
              <w:top w:val="nil"/>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color w:val="000000"/>
                <w:sz w:val="22"/>
                <w:szCs w:val="22"/>
              </w:rPr>
            </w:pPr>
          </w:p>
        </w:tc>
        <w:tc>
          <w:tcPr>
            <w:tcW w:w="1395" w:type="dxa"/>
            <w:vMerge w:val="continue"/>
            <w:tcBorders>
              <w:top w:val="nil"/>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color w:val="000000"/>
                <w:sz w:val="22"/>
                <w:szCs w:val="22"/>
              </w:rPr>
            </w:pPr>
          </w:p>
        </w:tc>
        <w:tc>
          <w:tcPr>
            <w:tcW w:w="1347" w:type="dxa"/>
            <w:vMerge w:val="continue"/>
            <w:tcBorders>
              <w:top w:val="nil"/>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color w:val="000000"/>
                <w:sz w:val="22"/>
                <w:szCs w:val="22"/>
              </w:rPr>
            </w:pPr>
          </w:p>
        </w:tc>
      </w:tr>
      <w:tr>
        <w:tblPrEx>
          <w:tblCellMar>
            <w:top w:w="0" w:type="dxa"/>
            <w:left w:w="108" w:type="dxa"/>
            <w:bottom w:w="0" w:type="dxa"/>
            <w:right w:w="108" w:type="dxa"/>
          </w:tblCellMar>
        </w:tblPrEx>
        <w:trPr>
          <w:trHeight w:val="538" w:hRule="atLeast"/>
        </w:trPr>
        <w:tc>
          <w:tcPr>
            <w:tcW w:w="410" w:type="dxa"/>
            <w:vMerge w:val="restart"/>
            <w:tcBorders>
              <w:top w:val="nil"/>
              <w:left w:val="single" w:color="000000" w:sz="4" w:space="0"/>
              <w:bottom w:val="single" w:color="000000" w:sz="4" w:space="0"/>
              <w:right w:val="single" w:color="000000" w:sz="4" w:space="0"/>
            </w:tcBorders>
            <w:shd w:val="clear" w:color="auto" w:fill="auto"/>
            <w:vAlign w:val="center"/>
          </w:tcPr>
          <w:p>
            <w:pPr>
              <w:spacing w:line="24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类</w:t>
            </w:r>
          </w:p>
        </w:tc>
        <w:tc>
          <w:tcPr>
            <w:tcW w:w="475" w:type="dxa"/>
            <w:vMerge w:val="restart"/>
            <w:tcBorders>
              <w:top w:val="nil"/>
              <w:left w:val="nil"/>
              <w:bottom w:val="single" w:color="000000" w:sz="4" w:space="0"/>
              <w:right w:val="single" w:color="000000" w:sz="4" w:space="0"/>
            </w:tcBorders>
            <w:shd w:val="clear" w:color="auto" w:fill="auto"/>
            <w:vAlign w:val="center"/>
          </w:tcPr>
          <w:p>
            <w:pPr>
              <w:spacing w:line="24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款</w:t>
            </w:r>
          </w:p>
        </w:tc>
        <w:tc>
          <w:tcPr>
            <w:tcW w:w="462" w:type="dxa"/>
            <w:vMerge w:val="restart"/>
            <w:tcBorders>
              <w:top w:val="nil"/>
              <w:left w:val="nil"/>
              <w:bottom w:val="single" w:color="000000" w:sz="4" w:space="0"/>
              <w:right w:val="single" w:color="000000" w:sz="4" w:space="0"/>
            </w:tcBorders>
            <w:shd w:val="clear" w:color="auto" w:fill="auto"/>
            <w:vAlign w:val="center"/>
          </w:tcPr>
          <w:p>
            <w:pPr>
              <w:spacing w:line="24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项</w:t>
            </w:r>
          </w:p>
        </w:tc>
        <w:tc>
          <w:tcPr>
            <w:tcW w:w="3175" w:type="dxa"/>
            <w:tcBorders>
              <w:top w:val="nil"/>
              <w:left w:val="nil"/>
              <w:bottom w:val="single" w:color="000000" w:sz="4" w:space="0"/>
              <w:right w:val="single" w:color="000000" w:sz="4" w:space="0"/>
            </w:tcBorders>
            <w:shd w:val="clear" w:color="auto" w:fill="auto"/>
            <w:vAlign w:val="center"/>
          </w:tcPr>
          <w:p>
            <w:pPr>
              <w:spacing w:line="24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栏次</w:t>
            </w:r>
          </w:p>
        </w:tc>
        <w:tc>
          <w:tcPr>
            <w:tcW w:w="750" w:type="dxa"/>
            <w:tcBorders>
              <w:top w:val="nil"/>
              <w:left w:val="nil"/>
              <w:bottom w:val="single" w:color="000000" w:sz="4" w:space="0"/>
              <w:right w:val="single" w:color="000000" w:sz="4" w:space="0"/>
            </w:tcBorders>
            <w:shd w:val="clear" w:color="auto" w:fill="auto"/>
            <w:vAlign w:val="center"/>
          </w:tcPr>
          <w:p>
            <w:pPr>
              <w:spacing w:line="24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1</w:t>
            </w:r>
          </w:p>
        </w:tc>
        <w:tc>
          <w:tcPr>
            <w:tcW w:w="888" w:type="dxa"/>
            <w:tcBorders>
              <w:top w:val="nil"/>
              <w:left w:val="nil"/>
              <w:bottom w:val="single" w:color="000000" w:sz="4" w:space="0"/>
              <w:right w:val="single" w:color="000000" w:sz="4" w:space="0"/>
            </w:tcBorders>
            <w:shd w:val="clear" w:color="auto" w:fill="auto"/>
            <w:vAlign w:val="center"/>
          </w:tcPr>
          <w:p>
            <w:pPr>
              <w:spacing w:line="24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2</w:t>
            </w:r>
          </w:p>
        </w:tc>
        <w:tc>
          <w:tcPr>
            <w:tcW w:w="1025" w:type="dxa"/>
            <w:tcBorders>
              <w:top w:val="nil"/>
              <w:left w:val="nil"/>
              <w:bottom w:val="single" w:color="000000" w:sz="4" w:space="0"/>
              <w:right w:val="single" w:color="000000" w:sz="4" w:space="0"/>
            </w:tcBorders>
            <w:shd w:val="clear" w:color="auto" w:fill="auto"/>
            <w:vAlign w:val="center"/>
          </w:tcPr>
          <w:p>
            <w:pPr>
              <w:spacing w:line="24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3</w:t>
            </w:r>
          </w:p>
        </w:tc>
        <w:tc>
          <w:tcPr>
            <w:tcW w:w="1278" w:type="dxa"/>
            <w:tcBorders>
              <w:top w:val="nil"/>
              <w:left w:val="nil"/>
              <w:bottom w:val="single" w:color="000000" w:sz="4" w:space="0"/>
              <w:right w:val="single" w:color="000000" w:sz="4" w:space="0"/>
            </w:tcBorders>
            <w:shd w:val="clear" w:color="auto" w:fill="auto"/>
            <w:vAlign w:val="center"/>
          </w:tcPr>
          <w:p>
            <w:pPr>
              <w:spacing w:line="24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4</w:t>
            </w:r>
          </w:p>
        </w:tc>
        <w:tc>
          <w:tcPr>
            <w:tcW w:w="1545" w:type="dxa"/>
            <w:tcBorders>
              <w:top w:val="nil"/>
              <w:left w:val="nil"/>
              <w:bottom w:val="single" w:color="000000" w:sz="4" w:space="0"/>
              <w:right w:val="single" w:color="000000" w:sz="4" w:space="0"/>
            </w:tcBorders>
            <w:shd w:val="clear" w:color="auto" w:fill="auto"/>
            <w:vAlign w:val="center"/>
          </w:tcPr>
          <w:p>
            <w:pPr>
              <w:spacing w:line="24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5</w:t>
            </w:r>
          </w:p>
        </w:tc>
        <w:tc>
          <w:tcPr>
            <w:tcW w:w="1425" w:type="dxa"/>
            <w:tcBorders>
              <w:top w:val="nil"/>
              <w:left w:val="nil"/>
              <w:bottom w:val="single" w:color="000000" w:sz="4" w:space="0"/>
              <w:right w:val="single" w:color="000000" w:sz="4" w:space="0"/>
            </w:tcBorders>
            <w:shd w:val="clear" w:color="auto" w:fill="auto"/>
            <w:vAlign w:val="center"/>
          </w:tcPr>
          <w:p>
            <w:pPr>
              <w:spacing w:line="24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6</w:t>
            </w:r>
          </w:p>
        </w:tc>
        <w:tc>
          <w:tcPr>
            <w:tcW w:w="1545" w:type="dxa"/>
            <w:tcBorders>
              <w:top w:val="nil"/>
              <w:left w:val="nil"/>
              <w:bottom w:val="single" w:color="000000" w:sz="4" w:space="0"/>
              <w:right w:val="single" w:color="000000" w:sz="4" w:space="0"/>
            </w:tcBorders>
            <w:shd w:val="clear" w:color="auto" w:fill="auto"/>
            <w:vAlign w:val="center"/>
          </w:tcPr>
          <w:p>
            <w:pPr>
              <w:spacing w:line="24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7</w:t>
            </w:r>
          </w:p>
        </w:tc>
        <w:tc>
          <w:tcPr>
            <w:tcW w:w="1560" w:type="dxa"/>
            <w:tcBorders>
              <w:top w:val="nil"/>
              <w:left w:val="nil"/>
              <w:bottom w:val="single" w:color="000000" w:sz="4" w:space="0"/>
              <w:right w:val="single" w:color="000000" w:sz="4" w:space="0"/>
            </w:tcBorders>
            <w:shd w:val="clear" w:color="auto" w:fill="auto"/>
            <w:vAlign w:val="center"/>
          </w:tcPr>
          <w:p>
            <w:pPr>
              <w:spacing w:line="24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8</w:t>
            </w:r>
          </w:p>
        </w:tc>
        <w:tc>
          <w:tcPr>
            <w:tcW w:w="1440" w:type="dxa"/>
            <w:tcBorders>
              <w:top w:val="nil"/>
              <w:left w:val="nil"/>
              <w:bottom w:val="single" w:color="000000" w:sz="4" w:space="0"/>
              <w:right w:val="single" w:color="000000" w:sz="4" w:space="0"/>
            </w:tcBorders>
            <w:shd w:val="clear" w:color="auto" w:fill="auto"/>
            <w:vAlign w:val="center"/>
          </w:tcPr>
          <w:p>
            <w:pPr>
              <w:spacing w:line="24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9</w:t>
            </w:r>
          </w:p>
        </w:tc>
        <w:tc>
          <w:tcPr>
            <w:tcW w:w="1590" w:type="dxa"/>
            <w:tcBorders>
              <w:top w:val="nil"/>
              <w:left w:val="nil"/>
              <w:bottom w:val="single" w:color="000000" w:sz="4" w:space="0"/>
              <w:right w:val="single" w:color="000000" w:sz="4" w:space="0"/>
            </w:tcBorders>
            <w:shd w:val="clear" w:color="auto" w:fill="auto"/>
            <w:vAlign w:val="center"/>
          </w:tcPr>
          <w:p>
            <w:pPr>
              <w:spacing w:line="24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10</w:t>
            </w:r>
          </w:p>
        </w:tc>
        <w:tc>
          <w:tcPr>
            <w:tcW w:w="1500" w:type="dxa"/>
            <w:tcBorders>
              <w:top w:val="nil"/>
              <w:left w:val="nil"/>
              <w:bottom w:val="single" w:color="000000" w:sz="4" w:space="0"/>
              <w:right w:val="single" w:color="000000" w:sz="4" w:space="0"/>
            </w:tcBorders>
            <w:shd w:val="clear" w:color="auto" w:fill="auto"/>
            <w:vAlign w:val="center"/>
          </w:tcPr>
          <w:p>
            <w:pPr>
              <w:spacing w:line="24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11</w:t>
            </w:r>
          </w:p>
        </w:tc>
        <w:tc>
          <w:tcPr>
            <w:tcW w:w="1395" w:type="dxa"/>
            <w:tcBorders>
              <w:top w:val="nil"/>
              <w:left w:val="nil"/>
              <w:bottom w:val="single" w:color="000000" w:sz="4" w:space="0"/>
              <w:right w:val="single" w:color="000000" w:sz="4" w:space="0"/>
            </w:tcBorders>
            <w:shd w:val="clear" w:color="auto" w:fill="auto"/>
            <w:vAlign w:val="center"/>
          </w:tcPr>
          <w:p>
            <w:pPr>
              <w:spacing w:line="24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12</w:t>
            </w:r>
          </w:p>
        </w:tc>
        <w:tc>
          <w:tcPr>
            <w:tcW w:w="1347" w:type="dxa"/>
            <w:tcBorders>
              <w:top w:val="nil"/>
              <w:left w:val="nil"/>
              <w:bottom w:val="single" w:color="000000" w:sz="4" w:space="0"/>
              <w:right w:val="single" w:color="000000" w:sz="4" w:space="0"/>
            </w:tcBorders>
            <w:shd w:val="clear" w:color="auto" w:fill="auto"/>
            <w:vAlign w:val="center"/>
          </w:tcPr>
          <w:p>
            <w:pPr>
              <w:spacing w:line="24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13</w:t>
            </w:r>
          </w:p>
        </w:tc>
      </w:tr>
      <w:tr>
        <w:tblPrEx>
          <w:tblCellMar>
            <w:top w:w="0" w:type="dxa"/>
            <w:left w:w="108" w:type="dxa"/>
            <w:bottom w:w="0" w:type="dxa"/>
            <w:right w:w="108" w:type="dxa"/>
          </w:tblCellMar>
        </w:tblPrEx>
        <w:trPr>
          <w:trHeight w:val="470" w:hRule="atLeast"/>
        </w:trPr>
        <w:tc>
          <w:tcPr>
            <w:tcW w:w="410" w:type="dxa"/>
            <w:vMerge w:val="continue"/>
            <w:tcBorders>
              <w:top w:val="nil"/>
              <w:left w:val="single" w:color="000000" w:sz="4" w:space="0"/>
              <w:bottom w:val="single" w:color="000000" w:sz="4" w:space="0"/>
              <w:right w:val="single" w:color="000000" w:sz="4" w:space="0"/>
            </w:tcBorders>
            <w:shd w:val="clear" w:color="auto" w:fill="auto"/>
            <w:vAlign w:val="center"/>
          </w:tcPr>
          <w:p>
            <w:pPr>
              <w:spacing w:line="240" w:lineRule="exact"/>
              <w:jc w:val="center"/>
              <w:rPr>
                <w:rFonts w:hint="default" w:ascii="Times New Roman" w:hAnsi="Times New Roman" w:cs="Times New Roman"/>
                <w:b/>
                <w:bCs/>
                <w:color w:val="000000"/>
                <w:sz w:val="22"/>
                <w:szCs w:val="22"/>
              </w:rPr>
            </w:pPr>
          </w:p>
        </w:tc>
        <w:tc>
          <w:tcPr>
            <w:tcW w:w="475" w:type="dxa"/>
            <w:vMerge w:val="continue"/>
            <w:tcBorders>
              <w:top w:val="nil"/>
              <w:left w:val="nil"/>
              <w:bottom w:val="single" w:color="000000" w:sz="4" w:space="0"/>
              <w:right w:val="single" w:color="000000" w:sz="4" w:space="0"/>
            </w:tcBorders>
            <w:shd w:val="clear" w:color="auto" w:fill="auto"/>
            <w:vAlign w:val="center"/>
          </w:tcPr>
          <w:p>
            <w:pPr>
              <w:spacing w:line="240" w:lineRule="exact"/>
              <w:jc w:val="center"/>
              <w:rPr>
                <w:rFonts w:hint="default" w:ascii="Times New Roman" w:hAnsi="Times New Roman" w:cs="Times New Roman"/>
                <w:b/>
                <w:bCs/>
                <w:color w:val="000000"/>
                <w:sz w:val="22"/>
                <w:szCs w:val="22"/>
              </w:rPr>
            </w:pPr>
          </w:p>
        </w:tc>
        <w:tc>
          <w:tcPr>
            <w:tcW w:w="462" w:type="dxa"/>
            <w:vMerge w:val="continue"/>
            <w:tcBorders>
              <w:top w:val="nil"/>
              <w:left w:val="nil"/>
              <w:bottom w:val="single" w:color="000000" w:sz="4" w:space="0"/>
              <w:right w:val="single" w:color="000000" w:sz="4" w:space="0"/>
            </w:tcBorders>
            <w:shd w:val="clear" w:color="auto" w:fill="auto"/>
            <w:vAlign w:val="center"/>
          </w:tcPr>
          <w:p>
            <w:pPr>
              <w:spacing w:line="240" w:lineRule="exact"/>
              <w:jc w:val="center"/>
              <w:rPr>
                <w:rFonts w:hint="default" w:ascii="Times New Roman" w:hAnsi="Times New Roman" w:cs="Times New Roman"/>
                <w:b/>
                <w:bCs/>
                <w:color w:val="000000"/>
                <w:sz w:val="22"/>
                <w:szCs w:val="22"/>
              </w:rPr>
            </w:pPr>
          </w:p>
        </w:tc>
        <w:tc>
          <w:tcPr>
            <w:tcW w:w="3175" w:type="dxa"/>
            <w:tcBorders>
              <w:top w:val="nil"/>
              <w:left w:val="nil"/>
              <w:bottom w:val="single" w:color="000000" w:sz="4" w:space="0"/>
              <w:right w:val="single" w:color="000000" w:sz="4" w:space="0"/>
            </w:tcBorders>
            <w:shd w:val="clear" w:color="auto" w:fill="auto"/>
            <w:vAlign w:val="center"/>
          </w:tcPr>
          <w:p>
            <w:pPr>
              <w:spacing w:line="240" w:lineRule="exact"/>
              <w:jc w:val="center"/>
              <w:textAlignment w:val="center"/>
              <w:rPr>
                <w:rFonts w:hint="default" w:ascii="Times New Roman" w:hAnsi="Times New Roman" w:cs="Times New Roman"/>
                <w:b/>
                <w:bCs/>
                <w:color w:val="000000"/>
                <w:sz w:val="20"/>
                <w:szCs w:val="20"/>
              </w:rPr>
            </w:pPr>
            <w:r>
              <w:rPr>
                <w:rFonts w:hint="default" w:ascii="Times New Roman" w:hAnsi="Times New Roman" w:cs="Times New Roman"/>
                <w:b/>
                <w:bCs/>
                <w:color w:val="000000"/>
                <w:sz w:val="22"/>
                <w:szCs w:val="22"/>
              </w:rPr>
              <w:t>合计</w:t>
            </w:r>
          </w:p>
        </w:tc>
        <w:tc>
          <w:tcPr>
            <w:tcW w:w="750" w:type="dxa"/>
            <w:tcBorders>
              <w:top w:val="nil"/>
              <w:left w:val="nil"/>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b/>
                <w:bCs/>
                <w:color w:val="000000"/>
                <w:sz w:val="20"/>
                <w:szCs w:val="20"/>
              </w:rPr>
            </w:pPr>
            <w:r>
              <w:rPr>
                <w:rFonts w:hint="default" w:ascii="Times New Roman" w:hAnsi="Times New Roman" w:cs="Times New Roman"/>
                <w:b/>
                <w:bCs/>
                <w:color w:val="000000"/>
                <w:sz w:val="20"/>
                <w:szCs w:val="20"/>
              </w:rPr>
              <w:t xml:space="preserve">0.00 </w:t>
            </w:r>
          </w:p>
        </w:tc>
        <w:tc>
          <w:tcPr>
            <w:tcW w:w="888" w:type="dxa"/>
            <w:tcBorders>
              <w:top w:val="nil"/>
              <w:left w:val="nil"/>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b/>
                <w:bCs/>
                <w:color w:val="000000"/>
                <w:sz w:val="20"/>
                <w:szCs w:val="20"/>
              </w:rPr>
            </w:pPr>
            <w:r>
              <w:rPr>
                <w:rFonts w:hint="default" w:ascii="Times New Roman" w:hAnsi="Times New Roman" w:cs="Times New Roman"/>
                <w:b/>
                <w:bCs/>
                <w:color w:val="000000"/>
                <w:sz w:val="20"/>
                <w:szCs w:val="20"/>
              </w:rPr>
              <w:t>0.00</w:t>
            </w:r>
          </w:p>
        </w:tc>
        <w:tc>
          <w:tcPr>
            <w:tcW w:w="1025" w:type="dxa"/>
            <w:tcBorders>
              <w:top w:val="nil"/>
              <w:left w:val="nil"/>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b/>
                <w:bCs/>
                <w:color w:val="000000"/>
                <w:sz w:val="20"/>
                <w:szCs w:val="20"/>
              </w:rPr>
            </w:pPr>
            <w:r>
              <w:rPr>
                <w:rFonts w:hint="default" w:ascii="Times New Roman" w:hAnsi="Times New Roman" w:cs="Times New Roman"/>
                <w:b/>
                <w:bCs/>
                <w:color w:val="000000"/>
                <w:sz w:val="20"/>
                <w:szCs w:val="20"/>
              </w:rPr>
              <w:t xml:space="preserve">0.00 </w:t>
            </w:r>
          </w:p>
        </w:tc>
        <w:tc>
          <w:tcPr>
            <w:tcW w:w="1278"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b/>
                <w:bCs/>
                <w:color w:val="000000"/>
                <w:sz w:val="20"/>
                <w:szCs w:val="20"/>
              </w:rPr>
            </w:pPr>
            <w:r>
              <w:rPr>
                <w:rFonts w:hint="default" w:ascii="Times New Roman" w:hAnsi="Times New Roman" w:cs="Times New Roman"/>
                <w:color w:val="000000"/>
                <w:sz w:val="22"/>
                <w:szCs w:val="22"/>
              </w:rPr>
              <w:t xml:space="preserve">4125.97 </w:t>
            </w:r>
          </w:p>
        </w:tc>
        <w:tc>
          <w:tcPr>
            <w:tcW w:w="1545"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b/>
                <w:bCs/>
                <w:color w:val="000000"/>
                <w:sz w:val="20"/>
                <w:szCs w:val="20"/>
              </w:rPr>
            </w:pPr>
            <w:r>
              <w:rPr>
                <w:rFonts w:hint="default" w:ascii="Times New Roman" w:hAnsi="Times New Roman" w:cs="Times New Roman"/>
                <w:color w:val="000000"/>
                <w:sz w:val="22"/>
                <w:szCs w:val="22"/>
              </w:rPr>
              <w:t xml:space="preserve">2727.76 </w:t>
            </w:r>
          </w:p>
        </w:tc>
        <w:tc>
          <w:tcPr>
            <w:tcW w:w="1425"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b/>
                <w:bCs/>
                <w:color w:val="000000"/>
                <w:sz w:val="20"/>
                <w:szCs w:val="20"/>
              </w:rPr>
            </w:pPr>
            <w:r>
              <w:rPr>
                <w:rFonts w:hint="default" w:ascii="Times New Roman" w:hAnsi="Times New Roman" w:cs="Times New Roman"/>
                <w:color w:val="000000"/>
                <w:sz w:val="22"/>
                <w:szCs w:val="22"/>
              </w:rPr>
              <w:t xml:space="preserve">1398.21 </w:t>
            </w:r>
          </w:p>
        </w:tc>
        <w:tc>
          <w:tcPr>
            <w:tcW w:w="1545"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b/>
                <w:bCs/>
                <w:color w:val="000000"/>
                <w:sz w:val="20"/>
                <w:szCs w:val="20"/>
              </w:rPr>
            </w:pPr>
            <w:r>
              <w:rPr>
                <w:rFonts w:hint="default" w:ascii="Times New Roman" w:hAnsi="Times New Roman" w:cs="Times New Roman"/>
                <w:color w:val="000000"/>
                <w:sz w:val="22"/>
                <w:szCs w:val="22"/>
              </w:rPr>
              <w:t xml:space="preserve">4125.97 </w:t>
            </w:r>
          </w:p>
        </w:tc>
        <w:tc>
          <w:tcPr>
            <w:tcW w:w="1560"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b/>
                <w:bCs/>
                <w:color w:val="000000"/>
                <w:sz w:val="20"/>
                <w:szCs w:val="20"/>
              </w:rPr>
            </w:pPr>
            <w:r>
              <w:rPr>
                <w:rFonts w:hint="default" w:ascii="Times New Roman" w:hAnsi="Times New Roman" w:cs="Times New Roman"/>
                <w:color w:val="000000"/>
                <w:sz w:val="22"/>
                <w:szCs w:val="22"/>
              </w:rPr>
              <w:t xml:space="preserve">2727.76 </w:t>
            </w:r>
          </w:p>
        </w:tc>
        <w:tc>
          <w:tcPr>
            <w:tcW w:w="1440"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b/>
                <w:bCs/>
                <w:color w:val="000000"/>
                <w:sz w:val="20"/>
                <w:szCs w:val="20"/>
              </w:rPr>
            </w:pPr>
            <w:r>
              <w:rPr>
                <w:rFonts w:hint="default" w:ascii="Times New Roman" w:hAnsi="Times New Roman" w:cs="Times New Roman"/>
                <w:color w:val="000000"/>
                <w:sz w:val="22"/>
                <w:szCs w:val="22"/>
              </w:rPr>
              <w:t xml:space="preserve">1398.21 </w:t>
            </w:r>
          </w:p>
        </w:tc>
        <w:tc>
          <w:tcPr>
            <w:tcW w:w="1590" w:type="dxa"/>
            <w:tcBorders>
              <w:top w:val="nil"/>
              <w:left w:val="nil"/>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b/>
                <w:bCs/>
                <w:color w:val="000000"/>
                <w:sz w:val="20"/>
                <w:szCs w:val="20"/>
              </w:rPr>
            </w:pPr>
            <w:r>
              <w:rPr>
                <w:rFonts w:hint="default" w:ascii="Times New Roman" w:hAnsi="Times New Roman" w:cs="Times New Roman"/>
                <w:b/>
                <w:bCs/>
                <w:color w:val="000000"/>
                <w:sz w:val="20"/>
                <w:szCs w:val="20"/>
              </w:rPr>
              <w:t xml:space="preserve">0.00 </w:t>
            </w:r>
          </w:p>
        </w:tc>
        <w:tc>
          <w:tcPr>
            <w:tcW w:w="1500" w:type="dxa"/>
            <w:tcBorders>
              <w:top w:val="nil"/>
              <w:left w:val="nil"/>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b/>
                <w:bCs/>
                <w:color w:val="000000"/>
                <w:sz w:val="20"/>
                <w:szCs w:val="20"/>
              </w:rPr>
            </w:pPr>
            <w:r>
              <w:rPr>
                <w:rFonts w:hint="default" w:ascii="Times New Roman" w:hAnsi="Times New Roman" w:cs="Times New Roman"/>
                <w:b/>
                <w:bCs/>
                <w:color w:val="000000"/>
                <w:sz w:val="20"/>
                <w:szCs w:val="20"/>
              </w:rPr>
              <w:t xml:space="preserve">0.00  </w:t>
            </w:r>
          </w:p>
        </w:tc>
        <w:tc>
          <w:tcPr>
            <w:tcW w:w="1395" w:type="dxa"/>
            <w:tcBorders>
              <w:top w:val="nil"/>
              <w:left w:val="nil"/>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b/>
                <w:bCs/>
                <w:color w:val="000000"/>
                <w:sz w:val="20"/>
                <w:szCs w:val="20"/>
              </w:rPr>
            </w:pPr>
            <w:r>
              <w:rPr>
                <w:rFonts w:hint="default" w:ascii="Times New Roman" w:hAnsi="Times New Roman" w:cs="Times New Roman"/>
                <w:b/>
                <w:bCs/>
                <w:color w:val="000000"/>
                <w:sz w:val="20"/>
                <w:szCs w:val="20"/>
              </w:rPr>
              <w:t xml:space="preserve">0.00 </w:t>
            </w:r>
          </w:p>
        </w:tc>
        <w:tc>
          <w:tcPr>
            <w:tcW w:w="1347" w:type="dxa"/>
            <w:tcBorders>
              <w:top w:val="nil"/>
              <w:left w:val="nil"/>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b/>
                <w:bCs/>
                <w:color w:val="000000"/>
                <w:sz w:val="20"/>
                <w:szCs w:val="20"/>
              </w:rPr>
            </w:pPr>
            <w:r>
              <w:rPr>
                <w:rFonts w:hint="default" w:ascii="Times New Roman" w:hAnsi="Times New Roman" w:cs="Times New Roman"/>
                <w:b/>
                <w:bCs/>
                <w:color w:val="000000"/>
                <w:sz w:val="20"/>
                <w:szCs w:val="20"/>
              </w:rPr>
              <w:t xml:space="preserve">0.00 </w:t>
            </w:r>
          </w:p>
        </w:tc>
      </w:tr>
      <w:tr>
        <w:tblPrEx>
          <w:tblCellMar>
            <w:top w:w="0" w:type="dxa"/>
            <w:left w:w="108" w:type="dxa"/>
            <w:bottom w:w="0" w:type="dxa"/>
            <w:right w:w="108" w:type="dxa"/>
          </w:tblCellMar>
        </w:tblPrEx>
        <w:trPr>
          <w:trHeight w:val="481" w:hRule="atLeast"/>
        </w:trPr>
        <w:tc>
          <w:tcPr>
            <w:tcW w:w="13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2"/>
                <w:szCs w:val="22"/>
              </w:rPr>
              <w:t>201</w:t>
            </w:r>
          </w:p>
        </w:tc>
        <w:tc>
          <w:tcPr>
            <w:tcW w:w="3175"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2"/>
                <w:szCs w:val="22"/>
              </w:rPr>
              <w:t>一般公共服务支出</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0.00 </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0.00 </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0.00 </w:t>
            </w:r>
          </w:p>
        </w:tc>
        <w:tc>
          <w:tcPr>
            <w:tcW w:w="12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1208.53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997.35 </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211.18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1208.53 </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997.35 </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211.18 </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0.00 </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0.00 </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0.00 </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0.00 </w:t>
            </w:r>
          </w:p>
        </w:tc>
      </w:tr>
      <w:tr>
        <w:tblPrEx>
          <w:tblCellMar>
            <w:top w:w="0" w:type="dxa"/>
            <w:left w:w="108" w:type="dxa"/>
            <w:bottom w:w="0" w:type="dxa"/>
            <w:right w:w="108" w:type="dxa"/>
          </w:tblCellMar>
        </w:tblPrEx>
        <w:trPr>
          <w:trHeight w:val="481" w:hRule="atLeast"/>
        </w:trPr>
        <w:tc>
          <w:tcPr>
            <w:tcW w:w="13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2"/>
                <w:szCs w:val="22"/>
              </w:rPr>
              <w:t>20103</w:t>
            </w:r>
          </w:p>
        </w:tc>
        <w:tc>
          <w:tcPr>
            <w:tcW w:w="3175"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2"/>
                <w:szCs w:val="22"/>
              </w:rPr>
              <w:t>政府办公厅（室）及相关机构事务</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2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1075.62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884.44 </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191.18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1075.62 </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884.44 </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191.18 </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r>
      <w:tr>
        <w:tblPrEx>
          <w:tblCellMar>
            <w:top w:w="0" w:type="dxa"/>
            <w:left w:w="108" w:type="dxa"/>
            <w:bottom w:w="0" w:type="dxa"/>
            <w:right w:w="108" w:type="dxa"/>
          </w:tblCellMar>
        </w:tblPrEx>
        <w:trPr>
          <w:trHeight w:val="481" w:hRule="atLeast"/>
        </w:trPr>
        <w:tc>
          <w:tcPr>
            <w:tcW w:w="13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2010301</w:t>
            </w:r>
          </w:p>
        </w:tc>
        <w:tc>
          <w:tcPr>
            <w:tcW w:w="3175"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行政运行</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2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884.44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884.44 </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884.44 </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884.44 </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r>
      <w:tr>
        <w:tblPrEx>
          <w:tblCellMar>
            <w:top w:w="0" w:type="dxa"/>
            <w:left w:w="108" w:type="dxa"/>
            <w:bottom w:w="0" w:type="dxa"/>
            <w:right w:w="108" w:type="dxa"/>
          </w:tblCellMar>
        </w:tblPrEx>
        <w:trPr>
          <w:trHeight w:val="481" w:hRule="atLeast"/>
        </w:trPr>
        <w:tc>
          <w:tcPr>
            <w:tcW w:w="13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2010302</w:t>
            </w:r>
          </w:p>
        </w:tc>
        <w:tc>
          <w:tcPr>
            <w:tcW w:w="3175"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一般行政管理事务</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2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191.18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191.18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191.18 </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191.18 </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r>
      <w:tr>
        <w:tblPrEx>
          <w:tblCellMar>
            <w:top w:w="0" w:type="dxa"/>
            <w:left w:w="108" w:type="dxa"/>
            <w:bottom w:w="0" w:type="dxa"/>
            <w:right w:w="108" w:type="dxa"/>
          </w:tblCellMar>
        </w:tblPrEx>
        <w:trPr>
          <w:trHeight w:val="481" w:hRule="atLeast"/>
        </w:trPr>
        <w:tc>
          <w:tcPr>
            <w:tcW w:w="13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2"/>
                <w:szCs w:val="22"/>
              </w:rPr>
              <w:t>20131</w:t>
            </w:r>
          </w:p>
        </w:tc>
        <w:tc>
          <w:tcPr>
            <w:tcW w:w="3175"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2"/>
                <w:szCs w:val="22"/>
              </w:rPr>
              <w:t>党委办公厅（室）及相关机构事务</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2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132.91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112.91 </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20.00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132.91 </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112.91 </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20.00 </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r>
      <w:tr>
        <w:tblPrEx>
          <w:tblCellMar>
            <w:top w:w="0" w:type="dxa"/>
            <w:left w:w="108" w:type="dxa"/>
            <w:bottom w:w="0" w:type="dxa"/>
            <w:right w:w="108" w:type="dxa"/>
          </w:tblCellMar>
        </w:tblPrEx>
        <w:trPr>
          <w:trHeight w:val="481" w:hRule="atLeast"/>
        </w:trPr>
        <w:tc>
          <w:tcPr>
            <w:tcW w:w="13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2013101</w:t>
            </w:r>
          </w:p>
        </w:tc>
        <w:tc>
          <w:tcPr>
            <w:tcW w:w="3175"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行政运行</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2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112.91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112.91 </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112.91 </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112.91 </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r>
      <w:tr>
        <w:tblPrEx>
          <w:tblCellMar>
            <w:top w:w="0" w:type="dxa"/>
            <w:left w:w="108" w:type="dxa"/>
            <w:bottom w:w="0" w:type="dxa"/>
            <w:right w:w="108" w:type="dxa"/>
          </w:tblCellMar>
        </w:tblPrEx>
        <w:trPr>
          <w:trHeight w:val="481" w:hRule="atLeast"/>
        </w:trPr>
        <w:tc>
          <w:tcPr>
            <w:tcW w:w="13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2013102</w:t>
            </w:r>
          </w:p>
        </w:tc>
        <w:tc>
          <w:tcPr>
            <w:tcW w:w="3175"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一般行政管理事务</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2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20.00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20.00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20.00 </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20.00 </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r>
      <w:tr>
        <w:tblPrEx>
          <w:tblCellMar>
            <w:top w:w="0" w:type="dxa"/>
            <w:left w:w="108" w:type="dxa"/>
            <w:bottom w:w="0" w:type="dxa"/>
            <w:right w:w="108" w:type="dxa"/>
          </w:tblCellMar>
        </w:tblPrEx>
        <w:trPr>
          <w:trHeight w:val="481" w:hRule="atLeast"/>
        </w:trPr>
        <w:tc>
          <w:tcPr>
            <w:tcW w:w="13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2"/>
                <w:szCs w:val="22"/>
              </w:rPr>
              <w:t>207</w:t>
            </w:r>
          </w:p>
        </w:tc>
        <w:tc>
          <w:tcPr>
            <w:tcW w:w="3175"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2"/>
                <w:szCs w:val="22"/>
              </w:rPr>
              <w:t>文化旅游体育与传媒支出</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2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147.45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142.46 </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5.00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147.45 </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142.46 </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5.00 </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r>
      <w:tr>
        <w:tblPrEx>
          <w:tblCellMar>
            <w:top w:w="0" w:type="dxa"/>
            <w:left w:w="108" w:type="dxa"/>
            <w:bottom w:w="0" w:type="dxa"/>
            <w:right w:w="108" w:type="dxa"/>
          </w:tblCellMar>
        </w:tblPrEx>
        <w:trPr>
          <w:trHeight w:val="481" w:hRule="atLeast"/>
        </w:trPr>
        <w:tc>
          <w:tcPr>
            <w:tcW w:w="13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2"/>
                <w:szCs w:val="22"/>
              </w:rPr>
              <w:t>20701</w:t>
            </w:r>
          </w:p>
        </w:tc>
        <w:tc>
          <w:tcPr>
            <w:tcW w:w="3175"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2"/>
                <w:szCs w:val="22"/>
              </w:rPr>
              <w:t>文化和旅游</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2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147.45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142.46 </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5.00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147.45 </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142.46 </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5.00 </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r>
      <w:tr>
        <w:tblPrEx>
          <w:tblCellMar>
            <w:top w:w="0" w:type="dxa"/>
            <w:left w:w="108" w:type="dxa"/>
            <w:bottom w:w="0" w:type="dxa"/>
            <w:right w:w="108" w:type="dxa"/>
          </w:tblCellMar>
        </w:tblPrEx>
        <w:trPr>
          <w:trHeight w:val="481" w:hRule="atLeast"/>
        </w:trPr>
        <w:tc>
          <w:tcPr>
            <w:tcW w:w="13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2070199</w:t>
            </w:r>
          </w:p>
        </w:tc>
        <w:tc>
          <w:tcPr>
            <w:tcW w:w="3175"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其他文化和旅游支出</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2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147.45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142.46 </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5.00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147.45 </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142.46 </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5.00 </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r>
      <w:tr>
        <w:tblPrEx>
          <w:tblCellMar>
            <w:top w:w="0" w:type="dxa"/>
            <w:left w:w="108" w:type="dxa"/>
            <w:bottom w:w="0" w:type="dxa"/>
            <w:right w:w="108" w:type="dxa"/>
          </w:tblCellMar>
        </w:tblPrEx>
        <w:trPr>
          <w:trHeight w:val="481" w:hRule="atLeast"/>
        </w:trPr>
        <w:tc>
          <w:tcPr>
            <w:tcW w:w="13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2"/>
                <w:szCs w:val="22"/>
              </w:rPr>
              <w:t>208</w:t>
            </w:r>
          </w:p>
        </w:tc>
        <w:tc>
          <w:tcPr>
            <w:tcW w:w="3175"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2"/>
                <w:szCs w:val="22"/>
              </w:rPr>
              <w:t>社会保障和就业支出</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2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549.98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540.57 </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9.41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549.98 </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540.57 </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9.41 </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r>
      <w:tr>
        <w:tblPrEx>
          <w:tblCellMar>
            <w:top w:w="0" w:type="dxa"/>
            <w:left w:w="108" w:type="dxa"/>
            <w:bottom w:w="0" w:type="dxa"/>
            <w:right w:w="108" w:type="dxa"/>
          </w:tblCellMar>
        </w:tblPrEx>
        <w:trPr>
          <w:trHeight w:val="481" w:hRule="atLeast"/>
        </w:trPr>
        <w:tc>
          <w:tcPr>
            <w:tcW w:w="13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2"/>
                <w:szCs w:val="22"/>
              </w:rPr>
              <w:t>20801</w:t>
            </w:r>
          </w:p>
        </w:tc>
        <w:tc>
          <w:tcPr>
            <w:tcW w:w="3175"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2"/>
                <w:szCs w:val="22"/>
              </w:rPr>
              <w:t>人力资源和社会保障管理事务</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2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118.62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118.62 </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118.62 </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118.62 </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r>
      <w:tr>
        <w:tblPrEx>
          <w:tblCellMar>
            <w:top w:w="0" w:type="dxa"/>
            <w:left w:w="108" w:type="dxa"/>
            <w:bottom w:w="0" w:type="dxa"/>
            <w:right w:w="108" w:type="dxa"/>
          </w:tblCellMar>
        </w:tblPrEx>
        <w:trPr>
          <w:trHeight w:val="481" w:hRule="atLeast"/>
        </w:trPr>
        <w:tc>
          <w:tcPr>
            <w:tcW w:w="13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2080150</w:t>
            </w:r>
          </w:p>
        </w:tc>
        <w:tc>
          <w:tcPr>
            <w:tcW w:w="3175"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事业运行</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2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118.62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118.62 </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118.62 </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118.62 </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r>
      <w:tr>
        <w:tblPrEx>
          <w:tblCellMar>
            <w:top w:w="0" w:type="dxa"/>
            <w:left w:w="108" w:type="dxa"/>
            <w:bottom w:w="0" w:type="dxa"/>
            <w:right w:w="108" w:type="dxa"/>
          </w:tblCellMar>
        </w:tblPrEx>
        <w:trPr>
          <w:trHeight w:val="481" w:hRule="atLeast"/>
        </w:trPr>
        <w:tc>
          <w:tcPr>
            <w:tcW w:w="13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2"/>
                <w:szCs w:val="22"/>
              </w:rPr>
              <w:t>20805</w:t>
            </w:r>
          </w:p>
        </w:tc>
        <w:tc>
          <w:tcPr>
            <w:tcW w:w="3175"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2"/>
                <w:szCs w:val="22"/>
              </w:rPr>
              <w:t>行政事业单位养老支出</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2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421.96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421.96 </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421.96 </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421.96 </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r>
      <w:tr>
        <w:tblPrEx>
          <w:tblCellMar>
            <w:top w:w="0" w:type="dxa"/>
            <w:left w:w="108" w:type="dxa"/>
            <w:bottom w:w="0" w:type="dxa"/>
            <w:right w:w="108" w:type="dxa"/>
          </w:tblCellMar>
        </w:tblPrEx>
        <w:trPr>
          <w:trHeight w:val="481" w:hRule="atLeast"/>
        </w:trPr>
        <w:tc>
          <w:tcPr>
            <w:tcW w:w="13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2080505</w:t>
            </w:r>
          </w:p>
        </w:tc>
        <w:tc>
          <w:tcPr>
            <w:tcW w:w="3175"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机关事业单位基本养老保险缴费支出</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2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227.24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227.24 </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227.24 </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227.24 </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r>
      <w:tr>
        <w:tblPrEx>
          <w:tblCellMar>
            <w:top w:w="0" w:type="dxa"/>
            <w:left w:w="108" w:type="dxa"/>
            <w:bottom w:w="0" w:type="dxa"/>
            <w:right w:w="108" w:type="dxa"/>
          </w:tblCellMar>
        </w:tblPrEx>
        <w:trPr>
          <w:trHeight w:val="481" w:hRule="atLeast"/>
        </w:trPr>
        <w:tc>
          <w:tcPr>
            <w:tcW w:w="13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2080506</w:t>
            </w:r>
          </w:p>
        </w:tc>
        <w:tc>
          <w:tcPr>
            <w:tcW w:w="3175"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机关事业单位职业年金缴费支出</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2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96.32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96.32 </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96.32 </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96.32 </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r>
      <w:tr>
        <w:tblPrEx>
          <w:tblCellMar>
            <w:top w:w="0" w:type="dxa"/>
            <w:left w:w="108" w:type="dxa"/>
            <w:bottom w:w="0" w:type="dxa"/>
            <w:right w:w="108" w:type="dxa"/>
          </w:tblCellMar>
        </w:tblPrEx>
        <w:trPr>
          <w:trHeight w:val="481" w:hRule="atLeast"/>
        </w:trPr>
        <w:tc>
          <w:tcPr>
            <w:tcW w:w="13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2080599</w:t>
            </w:r>
          </w:p>
        </w:tc>
        <w:tc>
          <w:tcPr>
            <w:tcW w:w="3175"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其他行政事业单位养老支出</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2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98.39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98.39 </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98.39 </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98.39 </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r>
      <w:tr>
        <w:tblPrEx>
          <w:tblCellMar>
            <w:top w:w="0" w:type="dxa"/>
            <w:left w:w="108" w:type="dxa"/>
            <w:bottom w:w="0" w:type="dxa"/>
            <w:right w:w="108" w:type="dxa"/>
          </w:tblCellMar>
        </w:tblPrEx>
        <w:trPr>
          <w:trHeight w:val="481" w:hRule="atLeast"/>
        </w:trPr>
        <w:tc>
          <w:tcPr>
            <w:tcW w:w="13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2"/>
                <w:szCs w:val="22"/>
              </w:rPr>
              <w:t>20811</w:t>
            </w:r>
          </w:p>
        </w:tc>
        <w:tc>
          <w:tcPr>
            <w:tcW w:w="3175"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2"/>
                <w:szCs w:val="22"/>
              </w:rPr>
              <w:t>残疾人事业</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2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9.41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9.41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9.41 </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9.41 </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r>
      <w:tr>
        <w:tblPrEx>
          <w:tblCellMar>
            <w:top w:w="0" w:type="dxa"/>
            <w:left w:w="108" w:type="dxa"/>
            <w:bottom w:w="0" w:type="dxa"/>
            <w:right w:w="108" w:type="dxa"/>
          </w:tblCellMar>
        </w:tblPrEx>
        <w:trPr>
          <w:trHeight w:val="481" w:hRule="atLeast"/>
        </w:trPr>
        <w:tc>
          <w:tcPr>
            <w:tcW w:w="13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2081199</w:t>
            </w:r>
          </w:p>
        </w:tc>
        <w:tc>
          <w:tcPr>
            <w:tcW w:w="3175"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其他残疾人事业支出</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2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9.41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9.41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9.41 </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9.41 </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r>
      <w:tr>
        <w:tblPrEx>
          <w:tblCellMar>
            <w:top w:w="0" w:type="dxa"/>
            <w:left w:w="108" w:type="dxa"/>
            <w:bottom w:w="0" w:type="dxa"/>
            <w:right w:w="108" w:type="dxa"/>
          </w:tblCellMar>
        </w:tblPrEx>
        <w:trPr>
          <w:trHeight w:val="481" w:hRule="atLeast"/>
        </w:trPr>
        <w:tc>
          <w:tcPr>
            <w:tcW w:w="13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2"/>
                <w:szCs w:val="22"/>
              </w:rPr>
              <w:t>210</w:t>
            </w:r>
          </w:p>
        </w:tc>
        <w:tc>
          <w:tcPr>
            <w:tcW w:w="3175"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2"/>
                <w:szCs w:val="22"/>
              </w:rPr>
              <w:t>卫生健康支出</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2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128.26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128.26 </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128.26 </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128.26 </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r>
      <w:tr>
        <w:tblPrEx>
          <w:tblCellMar>
            <w:top w:w="0" w:type="dxa"/>
            <w:left w:w="108" w:type="dxa"/>
            <w:bottom w:w="0" w:type="dxa"/>
            <w:right w:w="108" w:type="dxa"/>
          </w:tblCellMar>
        </w:tblPrEx>
        <w:trPr>
          <w:trHeight w:val="481" w:hRule="atLeast"/>
        </w:trPr>
        <w:tc>
          <w:tcPr>
            <w:tcW w:w="13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2"/>
                <w:szCs w:val="22"/>
              </w:rPr>
              <w:t>21011</w:t>
            </w:r>
          </w:p>
        </w:tc>
        <w:tc>
          <w:tcPr>
            <w:tcW w:w="3175"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2"/>
                <w:szCs w:val="22"/>
              </w:rPr>
              <w:t>行政事业单位医疗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2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128.26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128.26 </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128.26 </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128.26 </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r>
      <w:tr>
        <w:tblPrEx>
          <w:tblCellMar>
            <w:top w:w="0" w:type="dxa"/>
            <w:left w:w="108" w:type="dxa"/>
            <w:bottom w:w="0" w:type="dxa"/>
            <w:right w:w="108" w:type="dxa"/>
          </w:tblCellMar>
        </w:tblPrEx>
        <w:trPr>
          <w:trHeight w:val="481" w:hRule="atLeast"/>
        </w:trPr>
        <w:tc>
          <w:tcPr>
            <w:tcW w:w="13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2101101</w:t>
            </w:r>
          </w:p>
        </w:tc>
        <w:tc>
          <w:tcPr>
            <w:tcW w:w="3175"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行政单位医疗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2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62.88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62.88 </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62.88 </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62.88 </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r>
      <w:tr>
        <w:tblPrEx>
          <w:tblCellMar>
            <w:top w:w="0" w:type="dxa"/>
            <w:left w:w="108" w:type="dxa"/>
            <w:bottom w:w="0" w:type="dxa"/>
            <w:right w:w="108" w:type="dxa"/>
          </w:tblCellMar>
        </w:tblPrEx>
        <w:trPr>
          <w:trHeight w:val="481" w:hRule="atLeast"/>
        </w:trPr>
        <w:tc>
          <w:tcPr>
            <w:tcW w:w="13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2101102</w:t>
            </w:r>
          </w:p>
        </w:tc>
        <w:tc>
          <w:tcPr>
            <w:tcW w:w="3175"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事业单位医疗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2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65.38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65.38 </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65.38 </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65.38 </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r>
      <w:tr>
        <w:tblPrEx>
          <w:tblCellMar>
            <w:top w:w="0" w:type="dxa"/>
            <w:left w:w="108" w:type="dxa"/>
            <w:bottom w:w="0" w:type="dxa"/>
            <w:right w:w="108" w:type="dxa"/>
          </w:tblCellMar>
        </w:tblPrEx>
        <w:trPr>
          <w:trHeight w:val="481" w:hRule="atLeast"/>
        </w:trPr>
        <w:tc>
          <w:tcPr>
            <w:tcW w:w="13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2"/>
                <w:szCs w:val="22"/>
              </w:rPr>
              <w:t>211</w:t>
            </w:r>
          </w:p>
        </w:tc>
        <w:tc>
          <w:tcPr>
            <w:tcW w:w="3175"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2"/>
                <w:szCs w:val="22"/>
              </w:rPr>
              <w:t>节能环保支出</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2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237.04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237.04 </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237.04 </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237.04 </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r>
      <w:tr>
        <w:tblPrEx>
          <w:tblCellMar>
            <w:top w:w="0" w:type="dxa"/>
            <w:left w:w="108" w:type="dxa"/>
            <w:bottom w:w="0" w:type="dxa"/>
            <w:right w:w="108" w:type="dxa"/>
          </w:tblCellMar>
        </w:tblPrEx>
        <w:trPr>
          <w:trHeight w:val="481" w:hRule="atLeast"/>
        </w:trPr>
        <w:tc>
          <w:tcPr>
            <w:tcW w:w="13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2"/>
                <w:szCs w:val="22"/>
              </w:rPr>
              <w:t>21101</w:t>
            </w:r>
          </w:p>
        </w:tc>
        <w:tc>
          <w:tcPr>
            <w:tcW w:w="3175"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2"/>
                <w:szCs w:val="22"/>
              </w:rPr>
              <w:t>环境保护管理事务</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2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237.04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237.04 </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237.04 </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237.04 </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r>
      <w:tr>
        <w:tblPrEx>
          <w:tblCellMar>
            <w:top w:w="0" w:type="dxa"/>
            <w:left w:w="108" w:type="dxa"/>
            <w:bottom w:w="0" w:type="dxa"/>
            <w:right w:w="108" w:type="dxa"/>
          </w:tblCellMar>
        </w:tblPrEx>
        <w:trPr>
          <w:trHeight w:val="481" w:hRule="atLeast"/>
        </w:trPr>
        <w:tc>
          <w:tcPr>
            <w:tcW w:w="13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2110199</w:t>
            </w:r>
          </w:p>
        </w:tc>
        <w:tc>
          <w:tcPr>
            <w:tcW w:w="3175"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其他环境保护管理事务支出</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2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237.04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237.04 </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237.04 </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237.04 </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r>
      <w:tr>
        <w:tblPrEx>
          <w:tblCellMar>
            <w:top w:w="0" w:type="dxa"/>
            <w:left w:w="108" w:type="dxa"/>
            <w:bottom w:w="0" w:type="dxa"/>
            <w:right w:w="108" w:type="dxa"/>
          </w:tblCellMar>
        </w:tblPrEx>
        <w:trPr>
          <w:trHeight w:val="481" w:hRule="atLeast"/>
        </w:trPr>
        <w:tc>
          <w:tcPr>
            <w:tcW w:w="13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2"/>
                <w:szCs w:val="22"/>
              </w:rPr>
              <w:t>212</w:t>
            </w:r>
          </w:p>
        </w:tc>
        <w:tc>
          <w:tcPr>
            <w:tcW w:w="3175"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2"/>
                <w:szCs w:val="22"/>
              </w:rPr>
              <w:t>城乡社区支出</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2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200.17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172.59 </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27.58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200.17 </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172.59 </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27.58 </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r>
      <w:tr>
        <w:tblPrEx>
          <w:tblCellMar>
            <w:top w:w="0" w:type="dxa"/>
            <w:left w:w="108" w:type="dxa"/>
            <w:bottom w:w="0" w:type="dxa"/>
            <w:right w:w="108" w:type="dxa"/>
          </w:tblCellMar>
        </w:tblPrEx>
        <w:trPr>
          <w:trHeight w:val="481" w:hRule="atLeast"/>
        </w:trPr>
        <w:tc>
          <w:tcPr>
            <w:tcW w:w="13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2"/>
                <w:szCs w:val="22"/>
              </w:rPr>
              <w:t>21201</w:t>
            </w:r>
          </w:p>
        </w:tc>
        <w:tc>
          <w:tcPr>
            <w:tcW w:w="3175"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2"/>
                <w:szCs w:val="22"/>
              </w:rPr>
              <w:t>城乡社区管理事务</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2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200.17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172.59 </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27.58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200.17 </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172.59 </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27.58 </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r>
      <w:tr>
        <w:tblPrEx>
          <w:tblCellMar>
            <w:top w:w="0" w:type="dxa"/>
            <w:left w:w="108" w:type="dxa"/>
            <w:bottom w:w="0" w:type="dxa"/>
            <w:right w:w="108" w:type="dxa"/>
          </w:tblCellMar>
        </w:tblPrEx>
        <w:trPr>
          <w:trHeight w:val="481" w:hRule="atLeast"/>
        </w:trPr>
        <w:tc>
          <w:tcPr>
            <w:tcW w:w="13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2120199</w:t>
            </w:r>
          </w:p>
        </w:tc>
        <w:tc>
          <w:tcPr>
            <w:tcW w:w="3175"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其他城乡社区管理事务支出</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2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200.17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172.59 </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27.58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200.17 </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172.59 </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27.58 </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r>
      <w:tr>
        <w:tblPrEx>
          <w:tblCellMar>
            <w:top w:w="0" w:type="dxa"/>
            <w:left w:w="108" w:type="dxa"/>
            <w:bottom w:w="0" w:type="dxa"/>
            <w:right w:w="108" w:type="dxa"/>
          </w:tblCellMar>
        </w:tblPrEx>
        <w:trPr>
          <w:trHeight w:val="481" w:hRule="atLeast"/>
        </w:trPr>
        <w:tc>
          <w:tcPr>
            <w:tcW w:w="13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2"/>
                <w:szCs w:val="22"/>
              </w:rPr>
              <w:t>213</w:t>
            </w:r>
          </w:p>
        </w:tc>
        <w:tc>
          <w:tcPr>
            <w:tcW w:w="3175"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2"/>
                <w:szCs w:val="22"/>
              </w:rPr>
              <w:t>农林水支出</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2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764.91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379.86 </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385.05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764.91 </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379.86 </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385.05 </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r>
      <w:tr>
        <w:tblPrEx>
          <w:tblCellMar>
            <w:top w:w="0" w:type="dxa"/>
            <w:left w:w="108" w:type="dxa"/>
            <w:bottom w:w="0" w:type="dxa"/>
            <w:right w:w="108" w:type="dxa"/>
          </w:tblCellMar>
        </w:tblPrEx>
        <w:trPr>
          <w:trHeight w:val="481" w:hRule="atLeast"/>
        </w:trPr>
        <w:tc>
          <w:tcPr>
            <w:tcW w:w="13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2"/>
                <w:szCs w:val="22"/>
              </w:rPr>
              <w:t>21301</w:t>
            </w:r>
          </w:p>
        </w:tc>
        <w:tc>
          <w:tcPr>
            <w:tcW w:w="3175"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2"/>
                <w:szCs w:val="22"/>
              </w:rPr>
              <w:t>农业农村</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2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379.86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379.86 </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379.86 </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379.86 </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r>
      <w:tr>
        <w:tblPrEx>
          <w:tblCellMar>
            <w:top w:w="0" w:type="dxa"/>
            <w:left w:w="108" w:type="dxa"/>
            <w:bottom w:w="0" w:type="dxa"/>
            <w:right w:w="108" w:type="dxa"/>
          </w:tblCellMar>
        </w:tblPrEx>
        <w:trPr>
          <w:trHeight w:val="481" w:hRule="atLeast"/>
        </w:trPr>
        <w:tc>
          <w:tcPr>
            <w:tcW w:w="13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2130104</w:t>
            </w:r>
          </w:p>
        </w:tc>
        <w:tc>
          <w:tcPr>
            <w:tcW w:w="3175"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事业运行</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2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379.86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379.86 </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379.86 </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379.86 </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r>
      <w:tr>
        <w:tblPrEx>
          <w:tblCellMar>
            <w:top w:w="0" w:type="dxa"/>
            <w:left w:w="108" w:type="dxa"/>
            <w:bottom w:w="0" w:type="dxa"/>
            <w:right w:w="108" w:type="dxa"/>
          </w:tblCellMar>
        </w:tblPrEx>
        <w:trPr>
          <w:trHeight w:val="481" w:hRule="atLeast"/>
        </w:trPr>
        <w:tc>
          <w:tcPr>
            <w:tcW w:w="13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2"/>
                <w:szCs w:val="22"/>
              </w:rPr>
              <w:t>21307</w:t>
            </w:r>
          </w:p>
        </w:tc>
        <w:tc>
          <w:tcPr>
            <w:tcW w:w="3175"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2"/>
                <w:szCs w:val="22"/>
              </w:rPr>
              <w:t>农村综合改革</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2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385.05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385.05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385.05 </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385.05 </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r>
      <w:tr>
        <w:tblPrEx>
          <w:tblCellMar>
            <w:top w:w="0" w:type="dxa"/>
            <w:left w:w="108" w:type="dxa"/>
            <w:bottom w:w="0" w:type="dxa"/>
            <w:right w:w="108" w:type="dxa"/>
          </w:tblCellMar>
        </w:tblPrEx>
        <w:trPr>
          <w:trHeight w:val="481" w:hRule="atLeast"/>
        </w:trPr>
        <w:tc>
          <w:tcPr>
            <w:tcW w:w="13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2130705</w:t>
            </w:r>
          </w:p>
        </w:tc>
        <w:tc>
          <w:tcPr>
            <w:tcW w:w="3175"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对村民委员会和村党支部的补助</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2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385.05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385.05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385.05 </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385.05 </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r>
      <w:tr>
        <w:tblPrEx>
          <w:tblCellMar>
            <w:top w:w="0" w:type="dxa"/>
            <w:left w:w="108" w:type="dxa"/>
            <w:bottom w:w="0" w:type="dxa"/>
            <w:right w:w="108" w:type="dxa"/>
          </w:tblCellMar>
        </w:tblPrEx>
        <w:trPr>
          <w:trHeight w:val="481" w:hRule="atLeast"/>
        </w:trPr>
        <w:tc>
          <w:tcPr>
            <w:tcW w:w="13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2"/>
                <w:szCs w:val="22"/>
              </w:rPr>
              <w:t>215</w:t>
            </w:r>
          </w:p>
        </w:tc>
        <w:tc>
          <w:tcPr>
            <w:tcW w:w="3175"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2"/>
                <w:szCs w:val="22"/>
              </w:rPr>
              <w:t>资源勘探工业信息等支出</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2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760.00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760.00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760.00 </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760.00 </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r>
      <w:tr>
        <w:tblPrEx>
          <w:tblCellMar>
            <w:top w:w="0" w:type="dxa"/>
            <w:left w:w="108" w:type="dxa"/>
            <w:bottom w:w="0" w:type="dxa"/>
            <w:right w:w="108" w:type="dxa"/>
          </w:tblCellMar>
        </w:tblPrEx>
        <w:trPr>
          <w:trHeight w:val="481" w:hRule="atLeast"/>
        </w:trPr>
        <w:tc>
          <w:tcPr>
            <w:tcW w:w="13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2"/>
                <w:szCs w:val="22"/>
              </w:rPr>
              <w:t>21508</w:t>
            </w:r>
          </w:p>
        </w:tc>
        <w:tc>
          <w:tcPr>
            <w:tcW w:w="3175"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2"/>
                <w:szCs w:val="22"/>
              </w:rPr>
              <w:t>支持中小企业发展和管理支出</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2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760.00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760.00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760.00 </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760.00 </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r>
      <w:tr>
        <w:tblPrEx>
          <w:tblCellMar>
            <w:top w:w="0" w:type="dxa"/>
            <w:left w:w="108" w:type="dxa"/>
            <w:bottom w:w="0" w:type="dxa"/>
            <w:right w:w="108" w:type="dxa"/>
          </w:tblCellMar>
        </w:tblPrEx>
        <w:trPr>
          <w:trHeight w:val="481" w:hRule="atLeast"/>
        </w:trPr>
        <w:tc>
          <w:tcPr>
            <w:tcW w:w="13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2150899</w:t>
            </w:r>
          </w:p>
        </w:tc>
        <w:tc>
          <w:tcPr>
            <w:tcW w:w="3175"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其他支持中小企业发展和管理支出</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2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760.00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760.00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760.00 </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760.00 </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r>
      <w:tr>
        <w:tblPrEx>
          <w:tblCellMar>
            <w:top w:w="0" w:type="dxa"/>
            <w:left w:w="108" w:type="dxa"/>
            <w:bottom w:w="0" w:type="dxa"/>
            <w:right w:w="108" w:type="dxa"/>
          </w:tblCellMar>
        </w:tblPrEx>
        <w:trPr>
          <w:trHeight w:val="481" w:hRule="atLeast"/>
        </w:trPr>
        <w:tc>
          <w:tcPr>
            <w:tcW w:w="13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2"/>
                <w:szCs w:val="22"/>
              </w:rPr>
              <w:t>221</w:t>
            </w:r>
          </w:p>
        </w:tc>
        <w:tc>
          <w:tcPr>
            <w:tcW w:w="3175"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2"/>
                <w:szCs w:val="22"/>
              </w:rPr>
              <w:t>住房保障支出</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2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129.63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129.63 </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129.63 </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129.63 </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r>
      <w:tr>
        <w:tblPrEx>
          <w:tblCellMar>
            <w:top w:w="0" w:type="dxa"/>
            <w:left w:w="108" w:type="dxa"/>
            <w:bottom w:w="0" w:type="dxa"/>
            <w:right w:w="108" w:type="dxa"/>
          </w:tblCellMar>
        </w:tblPrEx>
        <w:trPr>
          <w:trHeight w:val="481" w:hRule="atLeast"/>
        </w:trPr>
        <w:tc>
          <w:tcPr>
            <w:tcW w:w="13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2"/>
                <w:szCs w:val="22"/>
              </w:rPr>
              <w:t>22102</w:t>
            </w:r>
          </w:p>
        </w:tc>
        <w:tc>
          <w:tcPr>
            <w:tcW w:w="3175"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2"/>
                <w:szCs w:val="22"/>
              </w:rPr>
              <w:t>住房改革支出</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2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129.63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129.63 </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129.63 </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129.63 </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r>
      <w:tr>
        <w:tblPrEx>
          <w:tblCellMar>
            <w:top w:w="0" w:type="dxa"/>
            <w:left w:w="108" w:type="dxa"/>
            <w:bottom w:w="0" w:type="dxa"/>
            <w:right w:w="108" w:type="dxa"/>
          </w:tblCellMar>
        </w:tblPrEx>
        <w:trPr>
          <w:trHeight w:val="481" w:hRule="atLeast"/>
        </w:trPr>
        <w:tc>
          <w:tcPr>
            <w:tcW w:w="13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2210201</w:t>
            </w:r>
          </w:p>
        </w:tc>
        <w:tc>
          <w:tcPr>
            <w:tcW w:w="3175"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住房公积金</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2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129.63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129.63 </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129.63 </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129.63 </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 xml:space="preserve">0.00 </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r>
    </w:tbl>
    <w:p>
      <w:pPr>
        <w:rPr>
          <w:rFonts w:hint="default" w:ascii="Times New Roman" w:hAnsi="Times New Roman" w:cs="Times New Roman"/>
          <w:sz w:val="21"/>
          <w:szCs w:val="21"/>
        </w:rPr>
      </w:pPr>
      <w:r>
        <w:rPr>
          <w:rFonts w:hint="default" w:ascii="Times New Roman" w:hAnsi="Times New Roman" w:cs="Times New Roman"/>
          <w:sz w:val="20"/>
          <w:szCs w:val="20"/>
        </w:rPr>
        <w:t>备注：本表反映单位本年度一般公共预算财政拨款支出情况。本单位无相关数据，故本表为空。</w:t>
      </w:r>
      <w:r>
        <w:rPr>
          <w:rFonts w:hint="default" w:ascii="Times New Roman" w:hAnsi="Times New Roman" w:cs="Times New Roman"/>
          <w:sz w:val="20"/>
          <w:szCs w:val="20"/>
        </w:rPr>
        <w:br w:type="textWrapping"/>
      </w:r>
      <w:r>
        <w:rPr>
          <w:rFonts w:hint="default" w:ascii="Times New Roman" w:hAnsi="Times New Roman" w:cs="Times New Roman"/>
          <w:sz w:val="20"/>
          <w:szCs w:val="20"/>
        </w:rPr>
        <w:br w:type="textWrapping"/>
      </w:r>
    </w:p>
    <w:p>
      <w:pPr>
        <w:rPr>
          <w:rFonts w:hint="default" w:ascii="Times New Roman" w:hAnsi="Times New Roman" w:cs="Times New Roman"/>
          <w:sz w:val="21"/>
          <w:szCs w:val="21"/>
        </w:rPr>
      </w:pPr>
      <w:r>
        <w:rPr>
          <w:rFonts w:hint="default" w:ascii="Times New Roman" w:hAnsi="Times New Roman" w:cs="Times New Roman"/>
          <w:sz w:val="21"/>
          <w:szCs w:val="21"/>
        </w:rPr>
        <w:br w:type="page"/>
      </w:r>
    </w:p>
    <w:tbl>
      <w:tblPr>
        <w:tblStyle w:val="7"/>
        <w:tblW w:w="21585" w:type="dxa"/>
        <w:tblInd w:w="-355" w:type="dxa"/>
        <w:tblLayout w:type="fixed"/>
        <w:tblCellMar>
          <w:top w:w="0" w:type="dxa"/>
          <w:left w:w="108" w:type="dxa"/>
          <w:bottom w:w="0" w:type="dxa"/>
          <w:right w:w="108" w:type="dxa"/>
        </w:tblCellMar>
      </w:tblPr>
      <w:tblGrid>
        <w:gridCol w:w="1333"/>
        <w:gridCol w:w="3569"/>
        <w:gridCol w:w="2617"/>
        <w:gridCol w:w="1218"/>
        <w:gridCol w:w="2829"/>
        <w:gridCol w:w="2336"/>
        <w:gridCol w:w="1118"/>
        <w:gridCol w:w="4075"/>
        <w:gridCol w:w="2490"/>
      </w:tblGrid>
      <w:tr>
        <w:tblPrEx>
          <w:tblCellMar>
            <w:top w:w="0" w:type="dxa"/>
            <w:left w:w="108" w:type="dxa"/>
            <w:bottom w:w="0" w:type="dxa"/>
            <w:right w:w="108" w:type="dxa"/>
          </w:tblCellMar>
        </w:tblPrEx>
        <w:trPr>
          <w:trHeight w:val="517" w:hRule="atLeast"/>
        </w:trPr>
        <w:tc>
          <w:tcPr>
            <w:tcW w:w="21585" w:type="dxa"/>
            <w:gridSpan w:val="9"/>
            <w:tcBorders>
              <w:top w:val="nil"/>
              <w:left w:val="nil"/>
              <w:bottom w:val="nil"/>
              <w:right w:val="nil"/>
            </w:tcBorders>
            <w:shd w:val="clear" w:color="auto" w:fill="auto"/>
            <w:vAlign w:val="bottom"/>
          </w:tcPr>
          <w:p>
            <w:pPr>
              <w:jc w:val="center"/>
              <w:textAlignment w:val="bottom"/>
              <w:rPr>
                <w:rFonts w:hint="default" w:ascii="Times New Roman" w:hAnsi="Times New Roman" w:cs="Times New Roman"/>
                <w:color w:val="000000"/>
                <w:sz w:val="30"/>
                <w:szCs w:val="30"/>
              </w:rPr>
            </w:pPr>
            <w:r>
              <w:rPr>
                <w:rFonts w:hint="default" w:ascii="Times New Roman" w:hAnsi="Times New Roman" w:cs="Times New Roman"/>
                <w:b/>
                <w:bCs/>
                <w:color w:val="000000"/>
                <w:sz w:val="30"/>
                <w:szCs w:val="30"/>
              </w:rPr>
              <w:t>一般公共预算财政拨款基本支出决算明细表</w:t>
            </w:r>
          </w:p>
        </w:tc>
      </w:tr>
      <w:tr>
        <w:tblPrEx>
          <w:tblCellMar>
            <w:top w:w="0" w:type="dxa"/>
            <w:left w:w="108" w:type="dxa"/>
            <w:bottom w:w="0" w:type="dxa"/>
            <w:right w:w="108" w:type="dxa"/>
          </w:tblCellMar>
        </w:tblPrEx>
        <w:trPr>
          <w:trHeight w:val="259" w:hRule="atLeast"/>
        </w:trPr>
        <w:tc>
          <w:tcPr>
            <w:tcW w:w="19095" w:type="dxa"/>
            <w:gridSpan w:val="8"/>
            <w:vMerge w:val="restart"/>
            <w:tcBorders>
              <w:top w:val="nil"/>
              <w:left w:val="nil"/>
              <w:right w:val="nil"/>
            </w:tcBorders>
            <w:shd w:val="clear" w:color="auto" w:fill="auto"/>
            <w:vAlign w:val="bottom"/>
          </w:tcPr>
          <w:p>
            <w:pP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单位：</w:t>
            </w:r>
            <w:r>
              <w:rPr>
                <w:rFonts w:hint="default" w:ascii="Times New Roman" w:hAnsi="Times New Roman" w:cs="Times New Roman"/>
                <w:color w:val="000000"/>
                <w:sz w:val="20"/>
              </w:rPr>
              <w:t>重庆市涪陵区同乐镇人民政府</w:t>
            </w:r>
          </w:p>
        </w:tc>
        <w:tc>
          <w:tcPr>
            <w:tcW w:w="2490" w:type="dxa"/>
            <w:tcBorders>
              <w:top w:val="nil"/>
              <w:left w:val="nil"/>
              <w:bottom w:val="nil"/>
              <w:right w:val="nil"/>
            </w:tcBorders>
            <w:shd w:val="clear" w:color="auto" w:fill="auto"/>
            <w:vAlign w:val="bottom"/>
          </w:tcPr>
          <w:p>
            <w:pPr>
              <w:jc w:val="right"/>
              <w:textAlignment w:val="bottom"/>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公开06表</w:t>
            </w:r>
          </w:p>
        </w:tc>
      </w:tr>
      <w:tr>
        <w:tblPrEx>
          <w:tblCellMar>
            <w:top w:w="0" w:type="dxa"/>
            <w:left w:w="108" w:type="dxa"/>
            <w:bottom w:w="0" w:type="dxa"/>
            <w:right w:w="108" w:type="dxa"/>
          </w:tblCellMar>
        </w:tblPrEx>
        <w:trPr>
          <w:trHeight w:val="259" w:hRule="atLeast"/>
        </w:trPr>
        <w:tc>
          <w:tcPr>
            <w:tcW w:w="19095" w:type="dxa"/>
            <w:gridSpan w:val="8"/>
            <w:vMerge w:val="continue"/>
            <w:tcBorders>
              <w:left w:val="nil"/>
              <w:bottom w:val="nil"/>
              <w:right w:val="nil"/>
            </w:tcBorders>
            <w:shd w:val="clear" w:color="auto" w:fill="auto"/>
            <w:vAlign w:val="bottom"/>
          </w:tcPr>
          <w:p>
            <w:pPr>
              <w:rPr>
                <w:rFonts w:hint="default" w:ascii="Times New Roman" w:hAnsi="Times New Roman" w:cs="Times New Roman"/>
                <w:color w:val="000000"/>
                <w:sz w:val="20"/>
                <w:szCs w:val="20"/>
              </w:rPr>
            </w:pPr>
          </w:p>
        </w:tc>
        <w:tc>
          <w:tcPr>
            <w:tcW w:w="2490" w:type="dxa"/>
            <w:tcBorders>
              <w:top w:val="nil"/>
              <w:left w:val="nil"/>
              <w:bottom w:val="nil"/>
              <w:right w:val="nil"/>
            </w:tcBorders>
            <w:shd w:val="clear" w:color="auto" w:fill="auto"/>
            <w:vAlign w:val="bottom"/>
          </w:tcPr>
          <w:p>
            <w:pPr>
              <w:jc w:val="right"/>
              <w:textAlignment w:val="bottom"/>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单位：万元</w:t>
            </w:r>
          </w:p>
        </w:tc>
      </w:tr>
      <w:tr>
        <w:tblPrEx>
          <w:tblCellMar>
            <w:top w:w="0" w:type="dxa"/>
            <w:left w:w="108" w:type="dxa"/>
            <w:bottom w:w="0" w:type="dxa"/>
            <w:right w:w="108" w:type="dxa"/>
          </w:tblCellMar>
        </w:tblPrEx>
        <w:trPr>
          <w:trHeight w:val="267" w:hRule="atLeast"/>
        </w:trPr>
        <w:tc>
          <w:tcPr>
            <w:tcW w:w="75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人员经费</w:t>
            </w:r>
          </w:p>
        </w:tc>
        <w:tc>
          <w:tcPr>
            <w:tcW w:w="14066" w:type="dxa"/>
            <w:gridSpan w:val="6"/>
            <w:tcBorders>
              <w:top w:val="single" w:color="000000" w:sz="4" w:space="0"/>
              <w:left w:val="nil"/>
              <w:bottom w:val="single" w:color="000000" w:sz="4" w:space="0"/>
              <w:right w:val="single" w:color="000000" w:sz="4" w:space="0"/>
            </w:tcBorders>
            <w:shd w:val="clear" w:color="auto" w:fill="auto"/>
            <w:vAlign w:val="center"/>
          </w:tcPr>
          <w:p>
            <w:pPr>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公用经费</w:t>
            </w:r>
          </w:p>
        </w:tc>
      </w:tr>
      <w:tr>
        <w:tblPrEx>
          <w:tblCellMar>
            <w:top w:w="0" w:type="dxa"/>
            <w:left w:w="108" w:type="dxa"/>
            <w:bottom w:w="0" w:type="dxa"/>
            <w:right w:w="108" w:type="dxa"/>
          </w:tblCellMar>
        </w:tblPrEx>
        <w:trPr>
          <w:trHeight w:val="312" w:hRule="atLeast"/>
        </w:trPr>
        <w:tc>
          <w:tcPr>
            <w:tcW w:w="1333" w:type="dxa"/>
            <w:vMerge w:val="restart"/>
            <w:tcBorders>
              <w:top w:val="nil"/>
              <w:left w:val="single" w:color="000000" w:sz="4" w:space="0"/>
              <w:bottom w:val="single" w:color="000000" w:sz="4" w:space="0"/>
              <w:right w:val="single" w:color="000000" w:sz="4" w:space="0"/>
            </w:tcBorders>
            <w:shd w:val="clear" w:color="auto" w:fill="auto"/>
            <w:vAlign w:val="center"/>
          </w:tcPr>
          <w:p>
            <w:pPr>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科目代码</w:t>
            </w:r>
          </w:p>
        </w:tc>
        <w:tc>
          <w:tcPr>
            <w:tcW w:w="3569" w:type="dxa"/>
            <w:vMerge w:val="restart"/>
            <w:tcBorders>
              <w:top w:val="nil"/>
              <w:left w:val="nil"/>
              <w:bottom w:val="single" w:color="000000" w:sz="4" w:space="0"/>
              <w:right w:val="single" w:color="000000" w:sz="4" w:space="0"/>
            </w:tcBorders>
            <w:shd w:val="clear" w:color="auto" w:fill="auto"/>
            <w:vAlign w:val="center"/>
          </w:tcPr>
          <w:p>
            <w:pPr>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科目名称</w:t>
            </w:r>
          </w:p>
        </w:tc>
        <w:tc>
          <w:tcPr>
            <w:tcW w:w="2617" w:type="dxa"/>
            <w:vMerge w:val="restart"/>
            <w:tcBorders>
              <w:top w:val="nil"/>
              <w:left w:val="nil"/>
              <w:bottom w:val="single" w:color="000000" w:sz="4" w:space="0"/>
              <w:right w:val="single" w:color="000000" w:sz="4" w:space="0"/>
            </w:tcBorders>
            <w:shd w:val="clear" w:color="auto" w:fill="auto"/>
            <w:vAlign w:val="center"/>
          </w:tcPr>
          <w:p>
            <w:pPr>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决算数</w:t>
            </w:r>
          </w:p>
        </w:tc>
        <w:tc>
          <w:tcPr>
            <w:tcW w:w="1218" w:type="dxa"/>
            <w:vMerge w:val="restart"/>
            <w:tcBorders>
              <w:top w:val="nil"/>
              <w:left w:val="nil"/>
              <w:bottom w:val="single" w:color="000000" w:sz="4" w:space="0"/>
              <w:right w:val="single" w:color="000000" w:sz="4" w:space="0"/>
            </w:tcBorders>
            <w:shd w:val="clear" w:color="auto" w:fill="auto"/>
            <w:vAlign w:val="center"/>
          </w:tcPr>
          <w:p>
            <w:pPr>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科目代码</w:t>
            </w:r>
          </w:p>
        </w:tc>
        <w:tc>
          <w:tcPr>
            <w:tcW w:w="2829" w:type="dxa"/>
            <w:vMerge w:val="restart"/>
            <w:tcBorders>
              <w:top w:val="nil"/>
              <w:left w:val="nil"/>
              <w:bottom w:val="single" w:color="000000" w:sz="4" w:space="0"/>
              <w:right w:val="single" w:color="000000" w:sz="4" w:space="0"/>
            </w:tcBorders>
            <w:shd w:val="clear" w:color="auto" w:fill="auto"/>
            <w:vAlign w:val="center"/>
          </w:tcPr>
          <w:p>
            <w:pPr>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科目名称</w:t>
            </w:r>
          </w:p>
        </w:tc>
        <w:tc>
          <w:tcPr>
            <w:tcW w:w="2336" w:type="dxa"/>
            <w:vMerge w:val="restart"/>
            <w:tcBorders>
              <w:top w:val="nil"/>
              <w:left w:val="nil"/>
              <w:bottom w:val="single" w:color="000000" w:sz="4" w:space="0"/>
              <w:right w:val="single" w:color="000000" w:sz="4" w:space="0"/>
            </w:tcBorders>
            <w:shd w:val="clear" w:color="auto" w:fill="auto"/>
            <w:vAlign w:val="center"/>
          </w:tcPr>
          <w:p>
            <w:pPr>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决算数</w:t>
            </w:r>
          </w:p>
        </w:tc>
        <w:tc>
          <w:tcPr>
            <w:tcW w:w="1118" w:type="dxa"/>
            <w:vMerge w:val="restart"/>
            <w:tcBorders>
              <w:top w:val="nil"/>
              <w:left w:val="nil"/>
              <w:bottom w:val="single" w:color="000000" w:sz="4" w:space="0"/>
              <w:right w:val="single" w:color="000000" w:sz="4" w:space="0"/>
            </w:tcBorders>
            <w:shd w:val="clear" w:color="auto" w:fill="auto"/>
            <w:vAlign w:val="center"/>
          </w:tcPr>
          <w:p>
            <w:pPr>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科目代码</w:t>
            </w:r>
          </w:p>
        </w:tc>
        <w:tc>
          <w:tcPr>
            <w:tcW w:w="4075" w:type="dxa"/>
            <w:vMerge w:val="restart"/>
            <w:tcBorders>
              <w:top w:val="nil"/>
              <w:left w:val="nil"/>
              <w:bottom w:val="single" w:color="000000" w:sz="4" w:space="0"/>
              <w:right w:val="single" w:color="000000" w:sz="4" w:space="0"/>
            </w:tcBorders>
            <w:shd w:val="clear" w:color="auto" w:fill="auto"/>
            <w:vAlign w:val="center"/>
          </w:tcPr>
          <w:p>
            <w:pPr>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科目名称</w:t>
            </w:r>
          </w:p>
        </w:tc>
        <w:tc>
          <w:tcPr>
            <w:tcW w:w="2490" w:type="dxa"/>
            <w:vMerge w:val="restart"/>
            <w:tcBorders>
              <w:top w:val="nil"/>
              <w:left w:val="nil"/>
              <w:bottom w:val="single" w:color="000000" w:sz="4" w:space="0"/>
              <w:right w:val="single" w:color="000000" w:sz="4" w:space="0"/>
            </w:tcBorders>
            <w:shd w:val="clear" w:color="auto" w:fill="auto"/>
            <w:vAlign w:val="center"/>
          </w:tcPr>
          <w:p>
            <w:pPr>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决算数</w:t>
            </w:r>
          </w:p>
        </w:tc>
      </w:tr>
      <w:tr>
        <w:tblPrEx>
          <w:tblCellMar>
            <w:top w:w="0" w:type="dxa"/>
            <w:left w:w="108" w:type="dxa"/>
            <w:bottom w:w="0" w:type="dxa"/>
            <w:right w:w="108" w:type="dxa"/>
          </w:tblCellMar>
        </w:tblPrEx>
        <w:trPr>
          <w:trHeight w:val="312" w:hRule="atLeast"/>
        </w:trPr>
        <w:tc>
          <w:tcPr>
            <w:tcW w:w="1333"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cs="Times New Roman"/>
                <w:color w:val="000000"/>
                <w:sz w:val="22"/>
                <w:szCs w:val="22"/>
              </w:rPr>
            </w:pPr>
          </w:p>
        </w:tc>
        <w:tc>
          <w:tcPr>
            <w:tcW w:w="3569" w:type="dxa"/>
            <w:vMerge w:val="continue"/>
            <w:tcBorders>
              <w:top w:val="nil"/>
              <w:left w:val="nil"/>
              <w:bottom w:val="single" w:color="000000" w:sz="4" w:space="0"/>
              <w:right w:val="single" w:color="000000" w:sz="4" w:space="0"/>
            </w:tcBorders>
            <w:shd w:val="clear" w:color="auto" w:fill="auto"/>
            <w:vAlign w:val="center"/>
          </w:tcPr>
          <w:p>
            <w:pPr>
              <w:jc w:val="center"/>
              <w:rPr>
                <w:rFonts w:hint="default" w:ascii="Times New Roman" w:hAnsi="Times New Roman" w:cs="Times New Roman"/>
                <w:color w:val="000000"/>
                <w:sz w:val="22"/>
                <w:szCs w:val="22"/>
              </w:rPr>
            </w:pPr>
          </w:p>
        </w:tc>
        <w:tc>
          <w:tcPr>
            <w:tcW w:w="2617" w:type="dxa"/>
            <w:vMerge w:val="continue"/>
            <w:tcBorders>
              <w:top w:val="nil"/>
              <w:left w:val="nil"/>
              <w:bottom w:val="single" w:color="000000" w:sz="4" w:space="0"/>
              <w:right w:val="single" w:color="000000" w:sz="4" w:space="0"/>
            </w:tcBorders>
            <w:shd w:val="clear" w:color="auto" w:fill="auto"/>
            <w:vAlign w:val="center"/>
          </w:tcPr>
          <w:p>
            <w:pPr>
              <w:jc w:val="center"/>
              <w:rPr>
                <w:rFonts w:hint="default" w:ascii="Times New Roman" w:hAnsi="Times New Roman" w:cs="Times New Roman"/>
                <w:color w:val="000000"/>
                <w:sz w:val="22"/>
                <w:szCs w:val="22"/>
              </w:rPr>
            </w:pPr>
          </w:p>
        </w:tc>
        <w:tc>
          <w:tcPr>
            <w:tcW w:w="1218" w:type="dxa"/>
            <w:vMerge w:val="continue"/>
            <w:tcBorders>
              <w:top w:val="nil"/>
              <w:left w:val="nil"/>
              <w:bottom w:val="single" w:color="000000" w:sz="4" w:space="0"/>
              <w:right w:val="single" w:color="000000" w:sz="4" w:space="0"/>
            </w:tcBorders>
            <w:shd w:val="clear" w:color="auto" w:fill="auto"/>
            <w:vAlign w:val="center"/>
          </w:tcPr>
          <w:p>
            <w:pPr>
              <w:jc w:val="center"/>
              <w:rPr>
                <w:rFonts w:hint="default" w:ascii="Times New Roman" w:hAnsi="Times New Roman" w:cs="Times New Roman"/>
                <w:color w:val="000000"/>
                <w:sz w:val="22"/>
                <w:szCs w:val="22"/>
              </w:rPr>
            </w:pPr>
          </w:p>
        </w:tc>
        <w:tc>
          <w:tcPr>
            <w:tcW w:w="2829" w:type="dxa"/>
            <w:vMerge w:val="continue"/>
            <w:tcBorders>
              <w:top w:val="nil"/>
              <w:left w:val="nil"/>
              <w:bottom w:val="single" w:color="000000" w:sz="4" w:space="0"/>
              <w:right w:val="single" w:color="000000" w:sz="4" w:space="0"/>
            </w:tcBorders>
            <w:shd w:val="clear" w:color="auto" w:fill="auto"/>
            <w:vAlign w:val="center"/>
          </w:tcPr>
          <w:p>
            <w:pPr>
              <w:jc w:val="center"/>
              <w:rPr>
                <w:rFonts w:hint="default" w:ascii="Times New Roman" w:hAnsi="Times New Roman" w:cs="Times New Roman"/>
                <w:color w:val="000000"/>
                <w:sz w:val="22"/>
                <w:szCs w:val="22"/>
              </w:rPr>
            </w:pPr>
          </w:p>
        </w:tc>
        <w:tc>
          <w:tcPr>
            <w:tcW w:w="2336" w:type="dxa"/>
            <w:vMerge w:val="continue"/>
            <w:tcBorders>
              <w:top w:val="nil"/>
              <w:left w:val="nil"/>
              <w:bottom w:val="single" w:color="000000" w:sz="4" w:space="0"/>
              <w:right w:val="single" w:color="000000" w:sz="4" w:space="0"/>
            </w:tcBorders>
            <w:shd w:val="clear" w:color="auto" w:fill="auto"/>
            <w:vAlign w:val="center"/>
          </w:tcPr>
          <w:p>
            <w:pPr>
              <w:jc w:val="center"/>
              <w:rPr>
                <w:rFonts w:hint="default" w:ascii="Times New Roman" w:hAnsi="Times New Roman" w:cs="Times New Roman"/>
                <w:color w:val="000000"/>
                <w:sz w:val="22"/>
                <w:szCs w:val="22"/>
              </w:rPr>
            </w:pPr>
          </w:p>
        </w:tc>
        <w:tc>
          <w:tcPr>
            <w:tcW w:w="1118" w:type="dxa"/>
            <w:vMerge w:val="continue"/>
            <w:tcBorders>
              <w:top w:val="nil"/>
              <w:left w:val="nil"/>
              <w:bottom w:val="single" w:color="000000" w:sz="4" w:space="0"/>
              <w:right w:val="single" w:color="000000" w:sz="4" w:space="0"/>
            </w:tcBorders>
            <w:shd w:val="clear" w:color="auto" w:fill="auto"/>
            <w:vAlign w:val="center"/>
          </w:tcPr>
          <w:p>
            <w:pPr>
              <w:jc w:val="center"/>
              <w:rPr>
                <w:rFonts w:hint="default" w:ascii="Times New Roman" w:hAnsi="Times New Roman" w:cs="Times New Roman"/>
                <w:color w:val="000000"/>
                <w:sz w:val="22"/>
                <w:szCs w:val="22"/>
              </w:rPr>
            </w:pPr>
          </w:p>
        </w:tc>
        <w:tc>
          <w:tcPr>
            <w:tcW w:w="4075" w:type="dxa"/>
            <w:vMerge w:val="continue"/>
            <w:tcBorders>
              <w:top w:val="nil"/>
              <w:left w:val="nil"/>
              <w:bottom w:val="single" w:color="000000" w:sz="4" w:space="0"/>
              <w:right w:val="single" w:color="000000" w:sz="4" w:space="0"/>
            </w:tcBorders>
            <w:shd w:val="clear" w:color="auto" w:fill="auto"/>
            <w:vAlign w:val="center"/>
          </w:tcPr>
          <w:p>
            <w:pPr>
              <w:jc w:val="center"/>
              <w:rPr>
                <w:rFonts w:hint="default" w:ascii="Times New Roman" w:hAnsi="Times New Roman" w:cs="Times New Roman"/>
                <w:color w:val="000000"/>
                <w:sz w:val="22"/>
                <w:szCs w:val="22"/>
              </w:rPr>
            </w:pPr>
          </w:p>
        </w:tc>
        <w:tc>
          <w:tcPr>
            <w:tcW w:w="2490" w:type="dxa"/>
            <w:vMerge w:val="continue"/>
            <w:tcBorders>
              <w:top w:val="nil"/>
              <w:left w:val="nil"/>
              <w:bottom w:val="single" w:color="000000" w:sz="4" w:space="0"/>
              <w:right w:val="single" w:color="000000" w:sz="4" w:space="0"/>
            </w:tcBorders>
            <w:shd w:val="clear" w:color="auto" w:fill="auto"/>
            <w:vAlign w:val="center"/>
          </w:tcPr>
          <w:p>
            <w:pPr>
              <w:jc w:val="center"/>
              <w:rPr>
                <w:rFonts w:hint="default" w:ascii="Times New Roman" w:hAnsi="Times New Roman" w:cs="Times New Roman"/>
                <w:color w:val="000000"/>
                <w:sz w:val="22"/>
                <w:szCs w:val="22"/>
              </w:rPr>
            </w:pPr>
          </w:p>
        </w:tc>
      </w:tr>
      <w:tr>
        <w:tblPrEx>
          <w:tblCellMar>
            <w:top w:w="0" w:type="dxa"/>
            <w:left w:w="108" w:type="dxa"/>
            <w:bottom w:w="0" w:type="dxa"/>
            <w:right w:w="108" w:type="dxa"/>
          </w:tblCellMar>
        </w:tblPrEx>
        <w:trPr>
          <w:trHeight w:val="290" w:hRule="atLeast"/>
        </w:trPr>
        <w:tc>
          <w:tcPr>
            <w:tcW w:w="1333" w:type="dxa"/>
            <w:tcBorders>
              <w:top w:val="nil"/>
              <w:left w:val="single" w:color="000000" w:sz="4" w:space="0"/>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301</w:t>
            </w:r>
          </w:p>
        </w:tc>
        <w:tc>
          <w:tcPr>
            <w:tcW w:w="356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工资福利支出</w:t>
            </w:r>
          </w:p>
        </w:tc>
        <w:tc>
          <w:tcPr>
            <w:tcW w:w="2617"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2095.42 </w:t>
            </w:r>
          </w:p>
        </w:tc>
        <w:tc>
          <w:tcPr>
            <w:tcW w:w="12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302</w:t>
            </w:r>
          </w:p>
        </w:tc>
        <w:tc>
          <w:tcPr>
            <w:tcW w:w="282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商品和服务支出</w:t>
            </w:r>
          </w:p>
        </w:tc>
        <w:tc>
          <w:tcPr>
            <w:tcW w:w="2336"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527.75 </w:t>
            </w:r>
          </w:p>
        </w:tc>
        <w:tc>
          <w:tcPr>
            <w:tcW w:w="11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310</w:t>
            </w:r>
          </w:p>
        </w:tc>
        <w:tc>
          <w:tcPr>
            <w:tcW w:w="4075"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资本性支出</w:t>
            </w:r>
          </w:p>
        </w:tc>
        <w:tc>
          <w:tcPr>
            <w:tcW w:w="2490" w:type="dxa"/>
            <w:tcBorders>
              <w:top w:val="nil"/>
              <w:left w:val="nil"/>
              <w:bottom w:val="single" w:color="000000" w:sz="4" w:space="0"/>
              <w:right w:val="single" w:color="000000" w:sz="4" w:space="0"/>
            </w:tcBorders>
            <w:shd w:val="clear" w:color="auto" w:fill="auto"/>
            <w:vAlign w:val="center"/>
          </w:tcPr>
          <w:p>
            <w:pPr>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290" w:hRule="atLeast"/>
        </w:trPr>
        <w:tc>
          <w:tcPr>
            <w:tcW w:w="1333" w:type="dxa"/>
            <w:tcBorders>
              <w:top w:val="nil"/>
              <w:left w:val="single" w:color="000000" w:sz="4" w:space="0"/>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30101</w:t>
            </w:r>
          </w:p>
        </w:tc>
        <w:tc>
          <w:tcPr>
            <w:tcW w:w="356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基本工资</w:t>
            </w:r>
          </w:p>
        </w:tc>
        <w:tc>
          <w:tcPr>
            <w:tcW w:w="2617"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484.38 </w:t>
            </w:r>
          </w:p>
        </w:tc>
        <w:tc>
          <w:tcPr>
            <w:tcW w:w="12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30201</w:t>
            </w:r>
          </w:p>
        </w:tc>
        <w:tc>
          <w:tcPr>
            <w:tcW w:w="282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办公费</w:t>
            </w:r>
          </w:p>
        </w:tc>
        <w:tc>
          <w:tcPr>
            <w:tcW w:w="2336"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383.44 </w:t>
            </w:r>
          </w:p>
        </w:tc>
        <w:tc>
          <w:tcPr>
            <w:tcW w:w="11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31001</w:t>
            </w:r>
          </w:p>
        </w:tc>
        <w:tc>
          <w:tcPr>
            <w:tcW w:w="4075"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房屋建筑物购建</w:t>
            </w:r>
          </w:p>
        </w:tc>
        <w:tc>
          <w:tcPr>
            <w:tcW w:w="2490" w:type="dxa"/>
            <w:tcBorders>
              <w:top w:val="nil"/>
              <w:left w:val="nil"/>
              <w:bottom w:val="single" w:color="000000" w:sz="4" w:space="0"/>
              <w:right w:val="single" w:color="000000" w:sz="4" w:space="0"/>
            </w:tcBorders>
            <w:shd w:val="clear" w:color="auto" w:fill="auto"/>
            <w:vAlign w:val="center"/>
          </w:tcPr>
          <w:p>
            <w:pPr>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290" w:hRule="atLeast"/>
        </w:trPr>
        <w:tc>
          <w:tcPr>
            <w:tcW w:w="1333" w:type="dxa"/>
            <w:tcBorders>
              <w:top w:val="nil"/>
              <w:left w:val="single" w:color="000000" w:sz="4" w:space="0"/>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30102</w:t>
            </w:r>
          </w:p>
        </w:tc>
        <w:tc>
          <w:tcPr>
            <w:tcW w:w="356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津贴补贴</w:t>
            </w:r>
          </w:p>
        </w:tc>
        <w:tc>
          <w:tcPr>
            <w:tcW w:w="2617"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187.10 </w:t>
            </w:r>
          </w:p>
        </w:tc>
        <w:tc>
          <w:tcPr>
            <w:tcW w:w="12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30202</w:t>
            </w:r>
          </w:p>
        </w:tc>
        <w:tc>
          <w:tcPr>
            <w:tcW w:w="282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印刷费</w:t>
            </w:r>
          </w:p>
        </w:tc>
        <w:tc>
          <w:tcPr>
            <w:tcW w:w="2336"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11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31002</w:t>
            </w:r>
          </w:p>
        </w:tc>
        <w:tc>
          <w:tcPr>
            <w:tcW w:w="4075"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办公设备购置</w:t>
            </w:r>
          </w:p>
        </w:tc>
        <w:tc>
          <w:tcPr>
            <w:tcW w:w="2490" w:type="dxa"/>
            <w:tcBorders>
              <w:top w:val="nil"/>
              <w:left w:val="nil"/>
              <w:bottom w:val="single" w:color="000000" w:sz="4" w:space="0"/>
              <w:right w:val="single" w:color="000000" w:sz="4" w:space="0"/>
            </w:tcBorders>
            <w:shd w:val="clear" w:color="auto" w:fill="auto"/>
            <w:vAlign w:val="center"/>
          </w:tcPr>
          <w:p>
            <w:pPr>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290" w:hRule="atLeast"/>
        </w:trPr>
        <w:tc>
          <w:tcPr>
            <w:tcW w:w="1333" w:type="dxa"/>
            <w:tcBorders>
              <w:top w:val="nil"/>
              <w:left w:val="single" w:color="000000" w:sz="4" w:space="0"/>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30103</w:t>
            </w:r>
          </w:p>
        </w:tc>
        <w:tc>
          <w:tcPr>
            <w:tcW w:w="356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奖金</w:t>
            </w:r>
          </w:p>
        </w:tc>
        <w:tc>
          <w:tcPr>
            <w:tcW w:w="2617"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256.48 </w:t>
            </w:r>
          </w:p>
        </w:tc>
        <w:tc>
          <w:tcPr>
            <w:tcW w:w="12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30204</w:t>
            </w:r>
          </w:p>
        </w:tc>
        <w:tc>
          <w:tcPr>
            <w:tcW w:w="282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手续费</w:t>
            </w:r>
          </w:p>
        </w:tc>
        <w:tc>
          <w:tcPr>
            <w:tcW w:w="2336"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11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31003</w:t>
            </w:r>
          </w:p>
        </w:tc>
        <w:tc>
          <w:tcPr>
            <w:tcW w:w="4075"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专用设备购置</w:t>
            </w:r>
          </w:p>
        </w:tc>
        <w:tc>
          <w:tcPr>
            <w:tcW w:w="2490" w:type="dxa"/>
            <w:tcBorders>
              <w:top w:val="nil"/>
              <w:left w:val="nil"/>
              <w:bottom w:val="single" w:color="000000" w:sz="4" w:space="0"/>
              <w:right w:val="single" w:color="000000" w:sz="4" w:space="0"/>
            </w:tcBorders>
            <w:shd w:val="clear" w:color="auto" w:fill="auto"/>
            <w:vAlign w:val="center"/>
          </w:tcPr>
          <w:p>
            <w:pPr>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290" w:hRule="atLeast"/>
        </w:trPr>
        <w:tc>
          <w:tcPr>
            <w:tcW w:w="1333" w:type="dxa"/>
            <w:tcBorders>
              <w:top w:val="nil"/>
              <w:left w:val="single" w:color="000000" w:sz="4" w:space="0"/>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30106</w:t>
            </w:r>
          </w:p>
        </w:tc>
        <w:tc>
          <w:tcPr>
            <w:tcW w:w="356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伙食补助费</w:t>
            </w:r>
          </w:p>
        </w:tc>
        <w:tc>
          <w:tcPr>
            <w:tcW w:w="2617"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12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30205</w:t>
            </w:r>
          </w:p>
        </w:tc>
        <w:tc>
          <w:tcPr>
            <w:tcW w:w="282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水费</w:t>
            </w:r>
          </w:p>
        </w:tc>
        <w:tc>
          <w:tcPr>
            <w:tcW w:w="2336"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2.14 </w:t>
            </w:r>
          </w:p>
        </w:tc>
        <w:tc>
          <w:tcPr>
            <w:tcW w:w="11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31005</w:t>
            </w:r>
          </w:p>
        </w:tc>
        <w:tc>
          <w:tcPr>
            <w:tcW w:w="4075"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基础设施建设</w:t>
            </w:r>
          </w:p>
        </w:tc>
        <w:tc>
          <w:tcPr>
            <w:tcW w:w="2490" w:type="dxa"/>
            <w:tcBorders>
              <w:top w:val="nil"/>
              <w:left w:val="nil"/>
              <w:bottom w:val="single" w:color="000000" w:sz="4" w:space="0"/>
              <w:right w:val="single" w:color="000000" w:sz="4" w:space="0"/>
            </w:tcBorders>
            <w:shd w:val="clear" w:color="auto" w:fill="auto"/>
            <w:vAlign w:val="center"/>
          </w:tcPr>
          <w:p>
            <w:pPr>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290" w:hRule="atLeast"/>
        </w:trPr>
        <w:tc>
          <w:tcPr>
            <w:tcW w:w="1333" w:type="dxa"/>
            <w:tcBorders>
              <w:top w:val="nil"/>
              <w:left w:val="single" w:color="000000" w:sz="4" w:space="0"/>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30107</w:t>
            </w:r>
          </w:p>
        </w:tc>
        <w:tc>
          <w:tcPr>
            <w:tcW w:w="356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绩效工资</w:t>
            </w:r>
          </w:p>
        </w:tc>
        <w:tc>
          <w:tcPr>
            <w:tcW w:w="2617"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574.10 </w:t>
            </w:r>
          </w:p>
        </w:tc>
        <w:tc>
          <w:tcPr>
            <w:tcW w:w="12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30206</w:t>
            </w:r>
          </w:p>
        </w:tc>
        <w:tc>
          <w:tcPr>
            <w:tcW w:w="282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电费</w:t>
            </w:r>
          </w:p>
        </w:tc>
        <w:tc>
          <w:tcPr>
            <w:tcW w:w="2336"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13.92 </w:t>
            </w:r>
          </w:p>
        </w:tc>
        <w:tc>
          <w:tcPr>
            <w:tcW w:w="11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31006</w:t>
            </w:r>
          </w:p>
        </w:tc>
        <w:tc>
          <w:tcPr>
            <w:tcW w:w="4075"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大型修缮</w:t>
            </w:r>
          </w:p>
        </w:tc>
        <w:tc>
          <w:tcPr>
            <w:tcW w:w="2490" w:type="dxa"/>
            <w:tcBorders>
              <w:top w:val="nil"/>
              <w:left w:val="nil"/>
              <w:bottom w:val="single" w:color="000000" w:sz="4" w:space="0"/>
              <w:right w:val="single" w:color="000000" w:sz="4" w:space="0"/>
            </w:tcBorders>
            <w:shd w:val="clear" w:color="auto" w:fill="auto"/>
            <w:vAlign w:val="center"/>
          </w:tcPr>
          <w:p>
            <w:pPr>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290" w:hRule="atLeast"/>
        </w:trPr>
        <w:tc>
          <w:tcPr>
            <w:tcW w:w="1333" w:type="dxa"/>
            <w:tcBorders>
              <w:top w:val="nil"/>
              <w:left w:val="single" w:color="000000" w:sz="4" w:space="0"/>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30108</w:t>
            </w:r>
          </w:p>
        </w:tc>
        <w:tc>
          <w:tcPr>
            <w:tcW w:w="356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机关事业单位基本养老保险缴费</w:t>
            </w:r>
          </w:p>
        </w:tc>
        <w:tc>
          <w:tcPr>
            <w:tcW w:w="2617"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227.24 </w:t>
            </w:r>
          </w:p>
        </w:tc>
        <w:tc>
          <w:tcPr>
            <w:tcW w:w="12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30207</w:t>
            </w:r>
          </w:p>
        </w:tc>
        <w:tc>
          <w:tcPr>
            <w:tcW w:w="282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邮电费</w:t>
            </w:r>
          </w:p>
        </w:tc>
        <w:tc>
          <w:tcPr>
            <w:tcW w:w="2336"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7.50 </w:t>
            </w:r>
          </w:p>
        </w:tc>
        <w:tc>
          <w:tcPr>
            <w:tcW w:w="11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31007</w:t>
            </w:r>
          </w:p>
        </w:tc>
        <w:tc>
          <w:tcPr>
            <w:tcW w:w="4075"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信息网络及软件购置更新</w:t>
            </w:r>
          </w:p>
        </w:tc>
        <w:tc>
          <w:tcPr>
            <w:tcW w:w="2490" w:type="dxa"/>
            <w:tcBorders>
              <w:top w:val="nil"/>
              <w:left w:val="nil"/>
              <w:bottom w:val="single" w:color="000000" w:sz="4" w:space="0"/>
              <w:right w:val="single" w:color="000000" w:sz="4" w:space="0"/>
            </w:tcBorders>
            <w:shd w:val="clear" w:color="auto" w:fill="auto"/>
            <w:vAlign w:val="center"/>
          </w:tcPr>
          <w:p>
            <w:pPr>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290" w:hRule="atLeast"/>
        </w:trPr>
        <w:tc>
          <w:tcPr>
            <w:tcW w:w="1333" w:type="dxa"/>
            <w:tcBorders>
              <w:top w:val="nil"/>
              <w:left w:val="single" w:color="000000" w:sz="4" w:space="0"/>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30109</w:t>
            </w:r>
          </w:p>
        </w:tc>
        <w:tc>
          <w:tcPr>
            <w:tcW w:w="356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职业年金缴费</w:t>
            </w:r>
          </w:p>
        </w:tc>
        <w:tc>
          <w:tcPr>
            <w:tcW w:w="2617"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96.32 </w:t>
            </w:r>
          </w:p>
        </w:tc>
        <w:tc>
          <w:tcPr>
            <w:tcW w:w="12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30208</w:t>
            </w:r>
          </w:p>
        </w:tc>
        <w:tc>
          <w:tcPr>
            <w:tcW w:w="282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取暖费</w:t>
            </w:r>
          </w:p>
        </w:tc>
        <w:tc>
          <w:tcPr>
            <w:tcW w:w="2336"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11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31008</w:t>
            </w:r>
          </w:p>
        </w:tc>
        <w:tc>
          <w:tcPr>
            <w:tcW w:w="4075"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物资储备</w:t>
            </w:r>
          </w:p>
        </w:tc>
        <w:tc>
          <w:tcPr>
            <w:tcW w:w="2490" w:type="dxa"/>
            <w:tcBorders>
              <w:top w:val="nil"/>
              <w:left w:val="nil"/>
              <w:bottom w:val="single" w:color="000000" w:sz="4" w:space="0"/>
              <w:right w:val="single" w:color="000000" w:sz="4" w:space="0"/>
            </w:tcBorders>
            <w:shd w:val="clear" w:color="auto" w:fill="auto"/>
            <w:vAlign w:val="center"/>
          </w:tcPr>
          <w:p>
            <w:pPr>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290" w:hRule="atLeast"/>
        </w:trPr>
        <w:tc>
          <w:tcPr>
            <w:tcW w:w="1333" w:type="dxa"/>
            <w:tcBorders>
              <w:top w:val="nil"/>
              <w:left w:val="single" w:color="000000" w:sz="4" w:space="0"/>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30110</w:t>
            </w:r>
          </w:p>
        </w:tc>
        <w:tc>
          <w:tcPr>
            <w:tcW w:w="356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职工基本医疗保险缴费</w:t>
            </w:r>
          </w:p>
        </w:tc>
        <w:tc>
          <w:tcPr>
            <w:tcW w:w="2617"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88.70 </w:t>
            </w:r>
          </w:p>
        </w:tc>
        <w:tc>
          <w:tcPr>
            <w:tcW w:w="12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30209</w:t>
            </w:r>
          </w:p>
        </w:tc>
        <w:tc>
          <w:tcPr>
            <w:tcW w:w="282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物业管理费</w:t>
            </w:r>
          </w:p>
        </w:tc>
        <w:tc>
          <w:tcPr>
            <w:tcW w:w="2336"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11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31009</w:t>
            </w:r>
          </w:p>
        </w:tc>
        <w:tc>
          <w:tcPr>
            <w:tcW w:w="4075"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土地补偿</w:t>
            </w:r>
          </w:p>
        </w:tc>
        <w:tc>
          <w:tcPr>
            <w:tcW w:w="2490" w:type="dxa"/>
            <w:tcBorders>
              <w:top w:val="nil"/>
              <w:left w:val="nil"/>
              <w:bottom w:val="single" w:color="000000" w:sz="4" w:space="0"/>
              <w:right w:val="single" w:color="000000" w:sz="4" w:space="0"/>
            </w:tcBorders>
            <w:shd w:val="clear" w:color="auto" w:fill="auto"/>
            <w:vAlign w:val="center"/>
          </w:tcPr>
          <w:p>
            <w:pPr>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290" w:hRule="atLeast"/>
        </w:trPr>
        <w:tc>
          <w:tcPr>
            <w:tcW w:w="1333" w:type="dxa"/>
            <w:tcBorders>
              <w:top w:val="nil"/>
              <w:left w:val="single" w:color="000000" w:sz="4" w:space="0"/>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30111</w:t>
            </w:r>
          </w:p>
        </w:tc>
        <w:tc>
          <w:tcPr>
            <w:tcW w:w="356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公务员医疗补助缴费</w:t>
            </w:r>
          </w:p>
        </w:tc>
        <w:tc>
          <w:tcPr>
            <w:tcW w:w="2617"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12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30211</w:t>
            </w:r>
          </w:p>
        </w:tc>
        <w:tc>
          <w:tcPr>
            <w:tcW w:w="282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差旅费</w:t>
            </w:r>
          </w:p>
        </w:tc>
        <w:tc>
          <w:tcPr>
            <w:tcW w:w="2336"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51.91 </w:t>
            </w:r>
          </w:p>
        </w:tc>
        <w:tc>
          <w:tcPr>
            <w:tcW w:w="11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31010</w:t>
            </w:r>
          </w:p>
        </w:tc>
        <w:tc>
          <w:tcPr>
            <w:tcW w:w="4075"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安置补助</w:t>
            </w:r>
          </w:p>
        </w:tc>
        <w:tc>
          <w:tcPr>
            <w:tcW w:w="2490" w:type="dxa"/>
            <w:tcBorders>
              <w:top w:val="nil"/>
              <w:left w:val="nil"/>
              <w:bottom w:val="single" w:color="000000" w:sz="4" w:space="0"/>
              <w:right w:val="single" w:color="000000" w:sz="4" w:space="0"/>
            </w:tcBorders>
            <w:shd w:val="clear" w:color="auto" w:fill="auto"/>
            <w:vAlign w:val="center"/>
          </w:tcPr>
          <w:p>
            <w:pPr>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290" w:hRule="atLeast"/>
        </w:trPr>
        <w:tc>
          <w:tcPr>
            <w:tcW w:w="1333" w:type="dxa"/>
            <w:tcBorders>
              <w:top w:val="nil"/>
              <w:left w:val="single" w:color="000000" w:sz="4" w:space="0"/>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30112</w:t>
            </w:r>
          </w:p>
        </w:tc>
        <w:tc>
          <w:tcPr>
            <w:tcW w:w="356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其他社会保障缴费</w:t>
            </w:r>
          </w:p>
        </w:tc>
        <w:tc>
          <w:tcPr>
            <w:tcW w:w="2617"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18.32 </w:t>
            </w:r>
          </w:p>
        </w:tc>
        <w:tc>
          <w:tcPr>
            <w:tcW w:w="12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30212</w:t>
            </w:r>
          </w:p>
        </w:tc>
        <w:tc>
          <w:tcPr>
            <w:tcW w:w="282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因公出国（境）费用</w:t>
            </w:r>
          </w:p>
        </w:tc>
        <w:tc>
          <w:tcPr>
            <w:tcW w:w="2336"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11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31011</w:t>
            </w:r>
          </w:p>
        </w:tc>
        <w:tc>
          <w:tcPr>
            <w:tcW w:w="4075"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地上附着物和青苗补偿</w:t>
            </w:r>
          </w:p>
        </w:tc>
        <w:tc>
          <w:tcPr>
            <w:tcW w:w="2490" w:type="dxa"/>
            <w:tcBorders>
              <w:top w:val="nil"/>
              <w:left w:val="nil"/>
              <w:bottom w:val="single" w:color="000000" w:sz="4" w:space="0"/>
              <w:right w:val="single" w:color="000000" w:sz="4" w:space="0"/>
            </w:tcBorders>
            <w:shd w:val="clear" w:color="auto" w:fill="auto"/>
            <w:vAlign w:val="center"/>
          </w:tcPr>
          <w:p>
            <w:pPr>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290" w:hRule="atLeast"/>
        </w:trPr>
        <w:tc>
          <w:tcPr>
            <w:tcW w:w="1333" w:type="dxa"/>
            <w:tcBorders>
              <w:top w:val="nil"/>
              <w:left w:val="single" w:color="000000" w:sz="4" w:space="0"/>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30113</w:t>
            </w:r>
          </w:p>
        </w:tc>
        <w:tc>
          <w:tcPr>
            <w:tcW w:w="356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住房公积金</w:t>
            </w:r>
          </w:p>
        </w:tc>
        <w:tc>
          <w:tcPr>
            <w:tcW w:w="2617"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129.63 </w:t>
            </w:r>
          </w:p>
        </w:tc>
        <w:tc>
          <w:tcPr>
            <w:tcW w:w="12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30213</w:t>
            </w:r>
          </w:p>
        </w:tc>
        <w:tc>
          <w:tcPr>
            <w:tcW w:w="282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维修（护）费</w:t>
            </w:r>
          </w:p>
        </w:tc>
        <w:tc>
          <w:tcPr>
            <w:tcW w:w="2336"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11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31012</w:t>
            </w:r>
          </w:p>
        </w:tc>
        <w:tc>
          <w:tcPr>
            <w:tcW w:w="4075"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拆迁补偿</w:t>
            </w:r>
          </w:p>
        </w:tc>
        <w:tc>
          <w:tcPr>
            <w:tcW w:w="2490" w:type="dxa"/>
            <w:tcBorders>
              <w:top w:val="nil"/>
              <w:left w:val="nil"/>
              <w:bottom w:val="single" w:color="000000" w:sz="4" w:space="0"/>
              <w:right w:val="single" w:color="000000" w:sz="4" w:space="0"/>
            </w:tcBorders>
            <w:shd w:val="clear" w:color="auto" w:fill="auto"/>
            <w:vAlign w:val="center"/>
          </w:tcPr>
          <w:p>
            <w:pPr>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290" w:hRule="atLeast"/>
        </w:trPr>
        <w:tc>
          <w:tcPr>
            <w:tcW w:w="1333" w:type="dxa"/>
            <w:tcBorders>
              <w:top w:val="nil"/>
              <w:left w:val="single" w:color="000000" w:sz="4" w:space="0"/>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30114</w:t>
            </w:r>
          </w:p>
        </w:tc>
        <w:tc>
          <w:tcPr>
            <w:tcW w:w="356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医疗费</w:t>
            </w:r>
          </w:p>
        </w:tc>
        <w:tc>
          <w:tcPr>
            <w:tcW w:w="2617"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15.04 </w:t>
            </w:r>
          </w:p>
        </w:tc>
        <w:tc>
          <w:tcPr>
            <w:tcW w:w="12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30214</w:t>
            </w:r>
          </w:p>
        </w:tc>
        <w:tc>
          <w:tcPr>
            <w:tcW w:w="282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租赁费</w:t>
            </w:r>
          </w:p>
        </w:tc>
        <w:tc>
          <w:tcPr>
            <w:tcW w:w="2336"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11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31013</w:t>
            </w:r>
          </w:p>
        </w:tc>
        <w:tc>
          <w:tcPr>
            <w:tcW w:w="4075"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公务用车购置</w:t>
            </w:r>
          </w:p>
        </w:tc>
        <w:tc>
          <w:tcPr>
            <w:tcW w:w="2490" w:type="dxa"/>
            <w:tcBorders>
              <w:top w:val="nil"/>
              <w:left w:val="nil"/>
              <w:bottom w:val="single" w:color="000000" w:sz="4" w:space="0"/>
              <w:right w:val="single" w:color="000000" w:sz="4" w:space="0"/>
            </w:tcBorders>
            <w:shd w:val="clear" w:color="auto" w:fill="auto"/>
            <w:vAlign w:val="center"/>
          </w:tcPr>
          <w:p>
            <w:pPr>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290" w:hRule="atLeast"/>
        </w:trPr>
        <w:tc>
          <w:tcPr>
            <w:tcW w:w="1333" w:type="dxa"/>
            <w:tcBorders>
              <w:top w:val="nil"/>
              <w:left w:val="single" w:color="000000" w:sz="4" w:space="0"/>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30199</w:t>
            </w:r>
          </w:p>
        </w:tc>
        <w:tc>
          <w:tcPr>
            <w:tcW w:w="356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其他工资福利支出</w:t>
            </w:r>
          </w:p>
        </w:tc>
        <w:tc>
          <w:tcPr>
            <w:tcW w:w="2617"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18.11 </w:t>
            </w:r>
          </w:p>
        </w:tc>
        <w:tc>
          <w:tcPr>
            <w:tcW w:w="12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30215</w:t>
            </w:r>
          </w:p>
        </w:tc>
        <w:tc>
          <w:tcPr>
            <w:tcW w:w="282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会议费</w:t>
            </w:r>
          </w:p>
        </w:tc>
        <w:tc>
          <w:tcPr>
            <w:tcW w:w="2336"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11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31019</w:t>
            </w:r>
          </w:p>
        </w:tc>
        <w:tc>
          <w:tcPr>
            <w:tcW w:w="4075"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其他交通工具购置</w:t>
            </w:r>
          </w:p>
        </w:tc>
        <w:tc>
          <w:tcPr>
            <w:tcW w:w="2490" w:type="dxa"/>
            <w:tcBorders>
              <w:top w:val="nil"/>
              <w:left w:val="nil"/>
              <w:bottom w:val="single" w:color="000000" w:sz="4" w:space="0"/>
              <w:right w:val="single" w:color="000000" w:sz="4" w:space="0"/>
            </w:tcBorders>
            <w:shd w:val="clear" w:color="auto" w:fill="auto"/>
            <w:vAlign w:val="center"/>
          </w:tcPr>
          <w:p>
            <w:pPr>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290" w:hRule="atLeast"/>
        </w:trPr>
        <w:tc>
          <w:tcPr>
            <w:tcW w:w="1333" w:type="dxa"/>
            <w:tcBorders>
              <w:top w:val="nil"/>
              <w:left w:val="single" w:color="000000" w:sz="4" w:space="0"/>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303</w:t>
            </w:r>
          </w:p>
        </w:tc>
        <w:tc>
          <w:tcPr>
            <w:tcW w:w="356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对个人和家庭的补助</w:t>
            </w:r>
          </w:p>
        </w:tc>
        <w:tc>
          <w:tcPr>
            <w:tcW w:w="2617"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104.59 </w:t>
            </w:r>
          </w:p>
        </w:tc>
        <w:tc>
          <w:tcPr>
            <w:tcW w:w="12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30216</w:t>
            </w:r>
          </w:p>
        </w:tc>
        <w:tc>
          <w:tcPr>
            <w:tcW w:w="282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培训费</w:t>
            </w:r>
          </w:p>
        </w:tc>
        <w:tc>
          <w:tcPr>
            <w:tcW w:w="2336"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0.77 </w:t>
            </w:r>
          </w:p>
        </w:tc>
        <w:tc>
          <w:tcPr>
            <w:tcW w:w="11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31021</w:t>
            </w:r>
          </w:p>
        </w:tc>
        <w:tc>
          <w:tcPr>
            <w:tcW w:w="4075"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文物和陈列品购置</w:t>
            </w:r>
          </w:p>
        </w:tc>
        <w:tc>
          <w:tcPr>
            <w:tcW w:w="2490" w:type="dxa"/>
            <w:tcBorders>
              <w:top w:val="nil"/>
              <w:left w:val="nil"/>
              <w:bottom w:val="single" w:color="000000" w:sz="4" w:space="0"/>
              <w:right w:val="single" w:color="000000" w:sz="4" w:space="0"/>
            </w:tcBorders>
            <w:shd w:val="clear" w:color="auto" w:fill="auto"/>
            <w:vAlign w:val="center"/>
          </w:tcPr>
          <w:p>
            <w:pPr>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290" w:hRule="atLeast"/>
        </w:trPr>
        <w:tc>
          <w:tcPr>
            <w:tcW w:w="1333" w:type="dxa"/>
            <w:tcBorders>
              <w:top w:val="nil"/>
              <w:left w:val="single" w:color="000000" w:sz="4" w:space="0"/>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30301</w:t>
            </w:r>
          </w:p>
        </w:tc>
        <w:tc>
          <w:tcPr>
            <w:tcW w:w="356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离休费</w:t>
            </w:r>
          </w:p>
        </w:tc>
        <w:tc>
          <w:tcPr>
            <w:tcW w:w="2617"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12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30217</w:t>
            </w:r>
          </w:p>
        </w:tc>
        <w:tc>
          <w:tcPr>
            <w:tcW w:w="282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公务接待费</w:t>
            </w:r>
          </w:p>
        </w:tc>
        <w:tc>
          <w:tcPr>
            <w:tcW w:w="2336"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11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31022</w:t>
            </w:r>
          </w:p>
        </w:tc>
        <w:tc>
          <w:tcPr>
            <w:tcW w:w="4075"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无形资产购置</w:t>
            </w:r>
          </w:p>
        </w:tc>
        <w:tc>
          <w:tcPr>
            <w:tcW w:w="2490" w:type="dxa"/>
            <w:tcBorders>
              <w:top w:val="nil"/>
              <w:left w:val="nil"/>
              <w:bottom w:val="single" w:color="000000" w:sz="4" w:space="0"/>
              <w:right w:val="single" w:color="000000" w:sz="4" w:space="0"/>
            </w:tcBorders>
            <w:shd w:val="clear" w:color="auto" w:fill="auto"/>
            <w:vAlign w:val="center"/>
          </w:tcPr>
          <w:p>
            <w:pPr>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290" w:hRule="atLeast"/>
        </w:trPr>
        <w:tc>
          <w:tcPr>
            <w:tcW w:w="1333" w:type="dxa"/>
            <w:tcBorders>
              <w:top w:val="nil"/>
              <w:left w:val="single" w:color="000000" w:sz="4" w:space="0"/>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30302</w:t>
            </w:r>
          </w:p>
        </w:tc>
        <w:tc>
          <w:tcPr>
            <w:tcW w:w="356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退休费</w:t>
            </w:r>
          </w:p>
        </w:tc>
        <w:tc>
          <w:tcPr>
            <w:tcW w:w="2617"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12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30218</w:t>
            </w:r>
          </w:p>
        </w:tc>
        <w:tc>
          <w:tcPr>
            <w:tcW w:w="282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专用材料费</w:t>
            </w:r>
          </w:p>
        </w:tc>
        <w:tc>
          <w:tcPr>
            <w:tcW w:w="2336"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11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31099</w:t>
            </w:r>
          </w:p>
        </w:tc>
        <w:tc>
          <w:tcPr>
            <w:tcW w:w="4075"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其他资本性支出</w:t>
            </w:r>
          </w:p>
        </w:tc>
        <w:tc>
          <w:tcPr>
            <w:tcW w:w="2490" w:type="dxa"/>
            <w:tcBorders>
              <w:top w:val="nil"/>
              <w:left w:val="nil"/>
              <w:bottom w:val="single" w:color="000000" w:sz="4" w:space="0"/>
              <w:right w:val="single" w:color="000000" w:sz="4" w:space="0"/>
            </w:tcBorders>
            <w:shd w:val="clear" w:color="auto" w:fill="auto"/>
            <w:vAlign w:val="center"/>
          </w:tcPr>
          <w:p>
            <w:pPr>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290" w:hRule="atLeast"/>
        </w:trPr>
        <w:tc>
          <w:tcPr>
            <w:tcW w:w="1333" w:type="dxa"/>
            <w:tcBorders>
              <w:top w:val="nil"/>
              <w:left w:val="single" w:color="000000" w:sz="4" w:space="0"/>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30303</w:t>
            </w:r>
          </w:p>
        </w:tc>
        <w:tc>
          <w:tcPr>
            <w:tcW w:w="356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退职（役）费</w:t>
            </w:r>
          </w:p>
        </w:tc>
        <w:tc>
          <w:tcPr>
            <w:tcW w:w="2617"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12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30224</w:t>
            </w:r>
          </w:p>
        </w:tc>
        <w:tc>
          <w:tcPr>
            <w:tcW w:w="282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被装购置费</w:t>
            </w:r>
          </w:p>
        </w:tc>
        <w:tc>
          <w:tcPr>
            <w:tcW w:w="2336"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11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312</w:t>
            </w:r>
          </w:p>
        </w:tc>
        <w:tc>
          <w:tcPr>
            <w:tcW w:w="4075"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对企业补助</w:t>
            </w:r>
          </w:p>
        </w:tc>
        <w:tc>
          <w:tcPr>
            <w:tcW w:w="2490" w:type="dxa"/>
            <w:tcBorders>
              <w:top w:val="nil"/>
              <w:left w:val="nil"/>
              <w:bottom w:val="single" w:color="000000" w:sz="4" w:space="0"/>
              <w:right w:val="single" w:color="000000" w:sz="4" w:space="0"/>
            </w:tcBorders>
            <w:shd w:val="clear" w:color="auto" w:fill="auto"/>
            <w:vAlign w:val="center"/>
          </w:tcPr>
          <w:p>
            <w:pPr>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290" w:hRule="atLeast"/>
        </w:trPr>
        <w:tc>
          <w:tcPr>
            <w:tcW w:w="1333" w:type="dxa"/>
            <w:tcBorders>
              <w:top w:val="nil"/>
              <w:left w:val="single" w:color="000000" w:sz="4" w:space="0"/>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30304</w:t>
            </w:r>
          </w:p>
        </w:tc>
        <w:tc>
          <w:tcPr>
            <w:tcW w:w="356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抚恤金</w:t>
            </w:r>
          </w:p>
        </w:tc>
        <w:tc>
          <w:tcPr>
            <w:tcW w:w="2617"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12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30225</w:t>
            </w:r>
          </w:p>
        </w:tc>
        <w:tc>
          <w:tcPr>
            <w:tcW w:w="282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专用燃料费</w:t>
            </w:r>
          </w:p>
        </w:tc>
        <w:tc>
          <w:tcPr>
            <w:tcW w:w="2336"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11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31201</w:t>
            </w:r>
          </w:p>
        </w:tc>
        <w:tc>
          <w:tcPr>
            <w:tcW w:w="4075"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资本金注入</w:t>
            </w:r>
          </w:p>
        </w:tc>
        <w:tc>
          <w:tcPr>
            <w:tcW w:w="2490" w:type="dxa"/>
            <w:tcBorders>
              <w:top w:val="nil"/>
              <w:left w:val="nil"/>
              <w:bottom w:val="single" w:color="000000" w:sz="4" w:space="0"/>
              <w:right w:val="single" w:color="000000" w:sz="4" w:space="0"/>
            </w:tcBorders>
            <w:shd w:val="clear" w:color="auto" w:fill="auto"/>
            <w:vAlign w:val="center"/>
          </w:tcPr>
          <w:p>
            <w:pPr>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290" w:hRule="atLeast"/>
        </w:trPr>
        <w:tc>
          <w:tcPr>
            <w:tcW w:w="1333" w:type="dxa"/>
            <w:tcBorders>
              <w:top w:val="nil"/>
              <w:left w:val="single" w:color="000000" w:sz="4" w:space="0"/>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30305</w:t>
            </w:r>
          </w:p>
        </w:tc>
        <w:tc>
          <w:tcPr>
            <w:tcW w:w="356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生活补助</w:t>
            </w:r>
          </w:p>
        </w:tc>
        <w:tc>
          <w:tcPr>
            <w:tcW w:w="2617"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98.39 </w:t>
            </w:r>
          </w:p>
        </w:tc>
        <w:tc>
          <w:tcPr>
            <w:tcW w:w="12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30226</w:t>
            </w:r>
          </w:p>
        </w:tc>
        <w:tc>
          <w:tcPr>
            <w:tcW w:w="282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劳务费</w:t>
            </w:r>
          </w:p>
        </w:tc>
        <w:tc>
          <w:tcPr>
            <w:tcW w:w="2336"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11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31203</w:t>
            </w:r>
          </w:p>
        </w:tc>
        <w:tc>
          <w:tcPr>
            <w:tcW w:w="4075"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政府投资基金股权投资</w:t>
            </w:r>
          </w:p>
        </w:tc>
        <w:tc>
          <w:tcPr>
            <w:tcW w:w="2490" w:type="dxa"/>
            <w:tcBorders>
              <w:top w:val="nil"/>
              <w:left w:val="nil"/>
              <w:bottom w:val="single" w:color="000000" w:sz="4" w:space="0"/>
              <w:right w:val="single" w:color="000000" w:sz="4" w:space="0"/>
            </w:tcBorders>
            <w:shd w:val="clear" w:color="auto" w:fill="auto"/>
            <w:vAlign w:val="center"/>
          </w:tcPr>
          <w:p>
            <w:pPr>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290" w:hRule="atLeast"/>
        </w:trPr>
        <w:tc>
          <w:tcPr>
            <w:tcW w:w="1333" w:type="dxa"/>
            <w:tcBorders>
              <w:top w:val="nil"/>
              <w:left w:val="single" w:color="000000" w:sz="4" w:space="0"/>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30306</w:t>
            </w:r>
          </w:p>
        </w:tc>
        <w:tc>
          <w:tcPr>
            <w:tcW w:w="356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救济费</w:t>
            </w:r>
          </w:p>
        </w:tc>
        <w:tc>
          <w:tcPr>
            <w:tcW w:w="2617"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12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30227</w:t>
            </w:r>
          </w:p>
        </w:tc>
        <w:tc>
          <w:tcPr>
            <w:tcW w:w="282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委托业务费</w:t>
            </w:r>
          </w:p>
        </w:tc>
        <w:tc>
          <w:tcPr>
            <w:tcW w:w="2336"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11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31204</w:t>
            </w:r>
          </w:p>
        </w:tc>
        <w:tc>
          <w:tcPr>
            <w:tcW w:w="4075"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费用补贴</w:t>
            </w:r>
          </w:p>
        </w:tc>
        <w:tc>
          <w:tcPr>
            <w:tcW w:w="2490" w:type="dxa"/>
            <w:tcBorders>
              <w:top w:val="nil"/>
              <w:left w:val="nil"/>
              <w:bottom w:val="single" w:color="000000" w:sz="4" w:space="0"/>
              <w:right w:val="single" w:color="000000" w:sz="4" w:space="0"/>
            </w:tcBorders>
            <w:shd w:val="clear" w:color="auto" w:fill="auto"/>
            <w:vAlign w:val="center"/>
          </w:tcPr>
          <w:p>
            <w:pPr>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290" w:hRule="atLeast"/>
        </w:trPr>
        <w:tc>
          <w:tcPr>
            <w:tcW w:w="1333" w:type="dxa"/>
            <w:tcBorders>
              <w:top w:val="nil"/>
              <w:left w:val="single" w:color="000000" w:sz="4" w:space="0"/>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30307</w:t>
            </w:r>
          </w:p>
        </w:tc>
        <w:tc>
          <w:tcPr>
            <w:tcW w:w="356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医疗费补助</w:t>
            </w:r>
          </w:p>
        </w:tc>
        <w:tc>
          <w:tcPr>
            <w:tcW w:w="2617"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6.20 </w:t>
            </w:r>
          </w:p>
        </w:tc>
        <w:tc>
          <w:tcPr>
            <w:tcW w:w="12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30228</w:t>
            </w:r>
          </w:p>
        </w:tc>
        <w:tc>
          <w:tcPr>
            <w:tcW w:w="282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工会经费</w:t>
            </w:r>
          </w:p>
        </w:tc>
        <w:tc>
          <w:tcPr>
            <w:tcW w:w="2336"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15.05 </w:t>
            </w:r>
          </w:p>
        </w:tc>
        <w:tc>
          <w:tcPr>
            <w:tcW w:w="11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31205</w:t>
            </w:r>
          </w:p>
        </w:tc>
        <w:tc>
          <w:tcPr>
            <w:tcW w:w="4075"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利息补贴</w:t>
            </w:r>
          </w:p>
        </w:tc>
        <w:tc>
          <w:tcPr>
            <w:tcW w:w="2490" w:type="dxa"/>
            <w:tcBorders>
              <w:top w:val="nil"/>
              <w:left w:val="nil"/>
              <w:bottom w:val="single" w:color="000000" w:sz="4" w:space="0"/>
              <w:right w:val="single" w:color="000000" w:sz="4" w:space="0"/>
            </w:tcBorders>
            <w:shd w:val="clear" w:color="auto" w:fill="auto"/>
            <w:vAlign w:val="center"/>
          </w:tcPr>
          <w:p>
            <w:pPr>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290" w:hRule="atLeast"/>
        </w:trPr>
        <w:tc>
          <w:tcPr>
            <w:tcW w:w="1333" w:type="dxa"/>
            <w:tcBorders>
              <w:top w:val="nil"/>
              <w:left w:val="single" w:color="000000" w:sz="4" w:space="0"/>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30308</w:t>
            </w:r>
          </w:p>
        </w:tc>
        <w:tc>
          <w:tcPr>
            <w:tcW w:w="356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助学金</w:t>
            </w:r>
          </w:p>
        </w:tc>
        <w:tc>
          <w:tcPr>
            <w:tcW w:w="2617"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12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30229</w:t>
            </w:r>
          </w:p>
        </w:tc>
        <w:tc>
          <w:tcPr>
            <w:tcW w:w="282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福利费</w:t>
            </w:r>
          </w:p>
        </w:tc>
        <w:tc>
          <w:tcPr>
            <w:tcW w:w="2336"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11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31206</w:t>
            </w:r>
          </w:p>
        </w:tc>
        <w:tc>
          <w:tcPr>
            <w:tcW w:w="4075"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其他资本性补助</w:t>
            </w:r>
          </w:p>
        </w:tc>
        <w:tc>
          <w:tcPr>
            <w:tcW w:w="2490" w:type="dxa"/>
            <w:tcBorders>
              <w:top w:val="nil"/>
              <w:left w:val="nil"/>
              <w:bottom w:val="single" w:color="000000" w:sz="4" w:space="0"/>
              <w:right w:val="single" w:color="000000" w:sz="4" w:space="0"/>
            </w:tcBorders>
            <w:shd w:val="clear" w:color="auto" w:fill="auto"/>
            <w:vAlign w:val="center"/>
          </w:tcPr>
          <w:p>
            <w:pPr>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290" w:hRule="atLeast"/>
        </w:trPr>
        <w:tc>
          <w:tcPr>
            <w:tcW w:w="1333" w:type="dxa"/>
            <w:tcBorders>
              <w:top w:val="nil"/>
              <w:left w:val="single" w:color="000000" w:sz="4" w:space="0"/>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30309</w:t>
            </w:r>
          </w:p>
        </w:tc>
        <w:tc>
          <w:tcPr>
            <w:tcW w:w="356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奖励金</w:t>
            </w:r>
          </w:p>
        </w:tc>
        <w:tc>
          <w:tcPr>
            <w:tcW w:w="2617"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12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30231</w:t>
            </w:r>
          </w:p>
        </w:tc>
        <w:tc>
          <w:tcPr>
            <w:tcW w:w="282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公务用车运行维护费</w:t>
            </w:r>
          </w:p>
        </w:tc>
        <w:tc>
          <w:tcPr>
            <w:tcW w:w="2336"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15.95 </w:t>
            </w:r>
          </w:p>
        </w:tc>
        <w:tc>
          <w:tcPr>
            <w:tcW w:w="11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31299</w:t>
            </w:r>
          </w:p>
        </w:tc>
        <w:tc>
          <w:tcPr>
            <w:tcW w:w="4075"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其他对企业补助</w:t>
            </w:r>
          </w:p>
        </w:tc>
        <w:tc>
          <w:tcPr>
            <w:tcW w:w="2490" w:type="dxa"/>
            <w:tcBorders>
              <w:top w:val="nil"/>
              <w:left w:val="nil"/>
              <w:bottom w:val="single" w:color="000000" w:sz="4" w:space="0"/>
              <w:right w:val="single" w:color="000000" w:sz="4" w:space="0"/>
            </w:tcBorders>
            <w:shd w:val="clear" w:color="auto" w:fill="auto"/>
            <w:vAlign w:val="center"/>
          </w:tcPr>
          <w:p>
            <w:pPr>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290" w:hRule="atLeast"/>
        </w:trPr>
        <w:tc>
          <w:tcPr>
            <w:tcW w:w="1333" w:type="dxa"/>
            <w:tcBorders>
              <w:top w:val="nil"/>
              <w:left w:val="single" w:color="000000" w:sz="4" w:space="0"/>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30310</w:t>
            </w:r>
          </w:p>
        </w:tc>
        <w:tc>
          <w:tcPr>
            <w:tcW w:w="356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个人农业生产补贴</w:t>
            </w:r>
          </w:p>
        </w:tc>
        <w:tc>
          <w:tcPr>
            <w:tcW w:w="2617"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12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30239</w:t>
            </w:r>
          </w:p>
        </w:tc>
        <w:tc>
          <w:tcPr>
            <w:tcW w:w="282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其他交通费用</w:t>
            </w:r>
          </w:p>
        </w:tc>
        <w:tc>
          <w:tcPr>
            <w:tcW w:w="2336"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30.09 </w:t>
            </w:r>
          </w:p>
        </w:tc>
        <w:tc>
          <w:tcPr>
            <w:tcW w:w="11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399</w:t>
            </w:r>
          </w:p>
        </w:tc>
        <w:tc>
          <w:tcPr>
            <w:tcW w:w="4075"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其他支出</w:t>
            </w:r>
          </w:p>
        </w:tc>
        <w:tc>
          <w:tcPr>
            <w:tcW w:w="2490" w:type="dxa"/>
            <w:tcBorders>
              <w:top w:val="nil"/>
              <w:left w:val="nil"/>
              <w:bottom w:val="single" w:color="000000" w:sz="4" w:space="0"/>
              <w:right w:val="single" w:color="000000" w:sz="4" w:space="0"/>
            </w:tcBorders>
            <w:shd w:val="clear" w:color="auto" w:fill="auto"/>
            <w:vAlign w:val="center"/>
          </w:tcPr>
          <w:p>
            <w:pPr>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290" w:hRule="atLeast"/>
        </w:trPr>
        <w:tc>
          <w:tcPr>
            <w:tcW w:w="1333" w:type="dxa"/>
            <w:tcBorders>
              <w:top w:val="nil"/>
              <w:left w:val="single" w:color="000000" w:sz="4" w:space="0"/>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30311</w:t>
            </w:r>
          </w:p>
        </w:tc>
        <w:tc>
          <w:tcPr>
            <w:tcW w:w="356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代缴社会保险费</w:t>
            </w:r>
          </w:p>
        </w:tc>
        <w:tc>
          <w:tcPr>
            <w:tcW w:w="2617"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12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30240</w:t>
            </w:r>
          </w:p>
        </w:tc>
        <w:tc>
          <w:tcPr>
            <w:tcW w:w="282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税金及附加费用</w:t>
            </w:r>
          </w:p>
        </w:tc>
        <w:tc>
          <w:tcPr>
            <w:tcW w:w="2336"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11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39907</w:t>
            </w:r>
          </w:p>
        </w:tc>
        <w:tc>
          <w:tcPr>
            <w:tcW w:w="4075"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国家赔偿费用支出</w:t>
            </w:r>
          </w:p>
        </w:tc>
        <w:tc>
          <w:tcPr>
            <w:tcW w:w="2490" w:type="dxa"/>
            <w:tcBorders>
              <w:top w:val="nil"/>
              <w:left w:val="nil"/>
              <w:bottom w:val="nil"/>
              <w:right w:val="single" w:color="000000" w:sz="4" w:space="0"/>
            </w:tcBorders>
            <w:shd w:val="clear" w:color="auto" w:fill="auto"/>
            <w:vAlign w:val="center"/>
          </w:tcPr>
          <w:p>
            <w:pPr>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290" w:hRule="atLeast"/>
        </w:trPr>
        <w:tc>
          <w:tcPr>
            <w:tcW w:w="1333" w:type="dxa"/>
            <w:tcBorders>
              <w:top w:val="nil"/>
              <w:left w:val="single" w:color="000000" w:sz="4" w:space="0"/>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30399</w:t>
            </w:r>
          </w:p>
        </w:tc>
        <w:tc>
          <w:tcPr>
            <w:tcW w:w="356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其他对个人和家庭的补助</w:t>
            </w:r>
          </w:p>
        </w:tc>
        <w:tc>
          <w:tcPr>
            <w:tcW w:w="2617" w:type="dxa"/>
            <w:tcBorders>
              <w:top w:val="nil"/>
              <w:left w:val="nil"/>
              <w:bottom w:val="nil"/>
              <w:right w:val="single" w:color="000000" w:sz="4" w:space="0"/>
            </w:tcBorders>
            <w:shd w:val="clear" w:color="auto" w:fill="auto"/>
            <w:vAlign w:val="center"/>
          </w:tcPr>
          <w:p>
            <w:pPr>
              <w:jc w:val="right"/>
              <w:textAlignment w:val="center"/>
              <w:rPr>
                <w:rFonts w:hint="default" w:ascii="Times New Roman" w:hAnsi="Times New Roman" w:cs="Times New Roman" w:eastAsiaTheme="minorEastAsia"/>
                <w:color w:val="000000"/>
                <w:sz w:val="22"/>
                <w:szCs w:val="22"/>
              </w:rPr>
            </w:pPr>
            <w:r>
              <w:rPr>
                <w:rFonts w:hint="default" w:ascii="Times New Roman" w:hAnsi="Times New Roman" w:cs="Times New Roman"/>
                <w:color w:val="000000"/>
                <w:sz w:val="22"/>
                <w:szCs w:val="22"/>
              </w:rPr>
              <w:t xml:space="preserve">0.00 </w:t>
            </w:r>
          </w:p>
        </w:tc>
        <w:tc>
          <w:tcPr>
            <w:tcW w:w="12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30299</w:t>
            </w:r>
          </w:p>
        </w:tc>
        <w:tc>
          <w:tcPr>
            <w:tcW w:w="282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其他商品和服务支出</w:t>
            </w:r>
          </w:p>
        </w:tc>
        <w:tc>
          <w:tcPr>
            <w:tcW w:w="2336"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6.98 </w:t>
            </w:r>
          </w:p>
        </w:tc>
        <w:tc>
          <w:tcPr>
            <w:tcW w:w="11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39908</w:t>
            </w:r>
          </w:p>
        </w:tc>
        <w:tc>
          <w:tcPr>
            <w:tcW w:w="4075" w:type="dxa"/>
            <w:tcBorders>
              <w:top w:val="nil"/>
              <w:left w:val="nil"/>
              <w:bottom w:val="single" w:color="000000" w:sz="4" w:space="0"/>
              <w:right w:val="nil"/>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对民间非营利组织和群众性自治组织补贴</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290" w:hRule="atLeast"/>
        </w:trPr>
        <w:tc>
          <w:tcPr>
            <w:tcW w:w="1333" w:type="dxa"/>
            <w:tcBorders>
              <w:top w:val="nil"/>
              <w:left w:val="single" w:color="000000" w:sz="4" w:space="0"/>
              <w:bottom w:val="single" w:color="000000" w:sz="4" w:space="0"/>
              <w:right w:val="single" w:color="000000" w:sz="4" w:space="0"/>
            </w:tcBorders>
            <w:shd w:val="clear" w:color="auto" w:fill="auto"/>
            <w:vAlign w:val="center"/>
          </w:tcPr>
          <w:p>
            <w:pPr>
              <w:spacing w:line="340" w:lineRule="exact"/>
              <w:rPr>
                <w:rFonts w:hint="default" w:ascii="Times New Roman" w:hAnsi="Times New Roman" w:cs="Times New Roman"/>
                <w:color w:val="000000"/>
                <w:sz w:val="22"/>
                <w:szCs w:val="22"/>
              </w:rPr>
            </w:pPr>
          </w:p>
        </w:tc>
        <w:tc>
          <w:tcPr>
            <w:tcW w:w="3569" w:type="dxa"/>
            <w:tcBorders>
              <w:top w:val="nil"/>
              <w:left w:val="nil"/>
              <w:bottom w:val="single" w:color="000000" w:sz="4" w:space="0"/>
              <w:right w:val="nil"/>
            </w:tcBorders>
            <w:shd w:val="clear" w:color="auto" w:fill="auto"/>
            <w:vAlign w:val="center"/>
          </w:tcPr>
          <w:p>
            <w:pPr>
              <w:spacing w:line="340" w:lineRule="exact"/>
              <w:rPr>
                <w:rFonts w:hint="default" w:ascii="Times New Roman" w:hAnsi="Times New Roman" w:cs="Times New Roman"/>
                <w:color w:val="000000"/>
                <w:sz w:val="22"/>
                <w:szCs w:val="22"/>
              </w:rPr>
            </w:pPr>
          </w:p>
        </w:tc>
        <w:tc>
          <w:tcPr>
            <w:tcW w:w="2617" w:type="dxa"/>
            <w:tcBorders>
              <w:top w:val="single" w:color="000000" w:sz="4" w:space="0"/>
              <w:left w:val="single" w:color="000000" w:sz="4" w:space="0"/>
              <w:bottom w:val="single" w:color="000000" w:sz="4" w:space="0"/>
              <w:right w:val="single" w:color="000000" w:sz="4" w:space="0"/>
            </w:tcBorders>
            <w:shd w:val="clear" w:color="auto" w:fill="auto"/>
            <w:vAlign w:val="bottom"/>
          </w:tcPr>
          <w:p>
            <w:pPr>
              <w:spacing w:line="340" w:lineRule="exact"/>
              <w:rPr>
                <w:rFonts w:hint="default" w:ascii="Times New Roman" w:hAnsi="Times New Roman" w:cs="Times New Roman" w:eastAsiaTheme="minorEastAsia"/>
                <w:color w:val="000000"/>
                <w:sz w:val="22"/>
                <w:szCs w:val="22"/>
              </w:rPr>
            </w:pPr>
          </w:p>
        </w:tc>
        <w:tc>
          <w:tcPr>
            <w:tcW w:w="12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307</w:t>
            </w:r>
          </w:p>
        </w:tc>
        <w:tc>
          <w:tcPr>
            <w:tcW w:w="282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债务利息及费用支出</w:t>
            </w:r>
          </w:p>
        </w:tc>
        <w:tc>
          <w:tcPr>
            <w:tcW w:w="2336"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11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39909</w:t>
            </w:r>
          </w:p>
        </w:tc>
        <w:tc>
          <w:tcPr>
            <w:tcW w:w="4075" w:type="dxa"/>
            <w:tcBorders>
              <w:top w:val="nil"/>
              <w:left w:val="nil"/>
              <w:bottom w:val="single" w:color="000000" w:sz="4" w:space="0"/>
              <w:right w:val="nil"/>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经常性赠与</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290" w:hRule="atLeast"/>
        </w:trPr>
        <w:tc>
          <w:tcPr>
            <w:tcW w:w="1333" w:type="dxa"/>
            <w:tcBorders>
              <w:top w:val="nil"/>
              <w:left w:val="single" w:color="000000" w:sz="4" w:space="0"/>
              <w:bottom w:val="single" w:color="000000" w:sz="4" w:space="0"/>
              <w:right w:val="single" w:color="000000" w:sz="4" w:space="0"/>
            </w:tcBorders>
            <w:shd w:val="clear" w:color="auto" w:fill="auto"/>
            <w:vAlign w:val="center"/>
          </w:tcPr>
          <w:p>
            <w:pPr>
              <w:spacing w:line="340" w:lineRule="exact"/>
              <w:rPr>
                <w:rFonts w:hint="default" w:ascii="Times New Roman" w:hAnsi="Times New Roman" w:cs="Times New Roman"/>
                <w:color w:val="000000"/>
                <w:sz w:val="22"/>
                <w:szCs w:val="22"/>
              </w:rPr>
            </w:pPr>
          </w:p>
        </w:tc>
        <w:tc>
          <w:tcPr>
            <w:tcW w:w="3569" w:type="dxa"/>
            <w:tcBorders>
              <w:top w:val="nil"/>
              <w:left w:val="nil"/>
              <w:bottom w:val="single" w:color="000000" w:sz="4" w:space="0"/>
              <w:right w:val="nil"/>
            </w:tcBorders>
            <w:shd w:val="clear" w:color="auto" w:fill="auto"/>
            <w:vAlign w:val="center"/>
          </w:tcPr>
          <w:p>
            <w:pPr>
              <w:spacing w:line="340" w:lineRule="exact"/>
              <w:rPr>
                <w:rFonts w:hint="default" w:ascii="Times New Roman" w:hAnsi="Times New Roman" w:cs="Times New Roman"/>
                <w:color w:val="000000"/>
                <w:sz w:val="22"/>
                <w:szCs w:val="22"/>
              </w:rPr>
            </w:pPr>
          </w:p>
        </w:tc>
        <w:tc>
          <w:tcPr>
            <w:tcW w:w="2617" w:type="dxa"/>
            <w:tcBorders>
              <w:top w:val="single" w:color="000000" w:sz="4" w:space="0"/>
              <w:left w:val="single" w:color="000000" w:sz="4" w:space="0"/>
              <w:bottom w:val="single" w:color="000000" w:sz="4" w:space="0"/>
              <w:right w:val="single" w:color="000000" w:sz="4" w:space="0"/>
            </w:tcBorders>
            <w:shd w:val="clear" w:color="auto" w:fill="auto"/>
            <w:vAlign w:val="bottom"/>
          </w:tcPr>
          <w:p>
            <w:pPr>
              <w:spacing w:line="340" w:lineRule="exact"/>
              <w:rPr>
                <w:rFonts w:hint="default" w:ascii="Times New Roman" w:hAnsi="Times New Roman" w:cs="Times New Roman" w:eastAsiaTheme="minorEastAsia"/>
                <w:color w:val="000000"/>
                <w:sz w:val="22"/>
                <w:szCs w:val="22"/>
              </w:rPr>
            </w:pPr>
          </w:p>
        </w:tc>
        <w:tc>
          <w:tcPr>
            <w:tcW w:w="12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color w:val="000000"/>
                <w:sz w:val="22"/>
                <w:szCs w:val="22"/>
              </w:rPr>
              <w:t>30701</w:t>
            </w:r>
          </w:p>
        </w:tc>
        <w:tc>
          <w:tcPr>
            <w:tcW w:w="282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color w:val="000000"/>
                <w:sz w:val="22"/>
                <w:szCs w:val="22"/>
              </w:rPr>
              <w:t xml:space="preserve">  国内债务付息</w:t>
            </w:r>
          </w:p>
        </w:tc>
        <w:tc>
          <w:tcPr>
            <w:tcW w:w="2336"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11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39910</w:t>
            </w:r>
          </w:p>
        </w:tc>
        <w:tc>
          <w:tcPr>
            <w:tcW w:w="4075" w:type="dxa"/>
            <w:tcBorders>
              <w:top w:val="nil"/>
              <w:left w:val="nil"/>
              <w:bottom w:val="single" w:color="000000" w:sz="4" w:space="0"/>
              <w:right w:val="nil"/>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资本性赠与</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290" w:hRule="atLeast"/>
        </w:trPr>
        <w:tc>
          <w:tcPr>
            <w:tcW w:w="1333" w:type="dxa"/>
            <w:tcBorders>
              <w:top w:val="nil"/>
              <w:left w:val="single" w:color="000000" w:sz="4" w:space="0"/>
              <w:bottom w:val="single" w:color="000000" w:sz="4" w:space="0"/>
              <w:right w:val="single" w:color="000000" w:sz="4" w:space="0"/>
            </w:tcBorders>
            <w:shd w:val="clear" w:color="auto" w:fill="auto"/>
            <w:vAlign w:val="center"/>
          </w:tcPr>
          <w:p>
            <w:pPr>
              <w:spacing w:line="340" w:lineRule="exact"/>
              <w:rPr>
                <w:rFonts w:hint="default" w:ascii="Times New Roman" w:hAnsi="Times New Roman" w:cs="Times New Roman"/>
                <w:color w:val="000000"/>
                <w:sz w:val="22"/>
                <w:szCs w:val="22"/>
              </w:rPr>
            </w:pPr>
          </w:p>
        </w:tc>
        <w:tc>
          <w:tcPr>
            <w:tcW w:w="3569" w:type="dxa"/>
            <w:tcBorders>
              <w:top w:val="nil"/>
              <w:left w:val="nil"/>
              <w:bottom w:val="single" w:color="000000" w:sz="4" w:space="0"/>
              <w:right w:val="nil"/>
            </w:tcBorders>
            <w:shd w:val="clear" w:color="auto" w:fill="auto"/>
            <w:vAlign w:val="center"/>
          </w:tcPr>
          <w:p>
            <w:pPr>
              <w:spacing w:line="340" w:lineRule="exact"/>
              <w:rPr>
                <w:rFonts w:hint="default" w:ascii="Times New Roman" w:hAnsi="Times New Roman" w:cs="Times New Roman"/>
                <w:color w:val="000000"/>
                <w:sz w:val="22"/>
                <w:szCs w:val="22"/>
              </w:rPr>
            </w:pPr>
          </w:p>
        </w:tc>
        <w:tc>
          <w:tcPr>
            <w:tcW w:w="2617" w:type="dxa"/>
            <w:tcBorders>
              <w:top w:val="single" w:color="000000" w:sz="4" w:space="0"/>
              <w:left w:val="single" w:color="000000" w:sz="4" w:space="0"/>
              <w:bottom w:val="single" w:color="000000" w:sz="4" w:space="0"/>
              <w:right w:val="single" w:color="000000" w:sz="4" w:space="0"/>
            </w:tcBorders>
            <w:shd w:val="clear" w:color="auto" w:fill="auto"/>
            <w:vAlign w:val="bottom"/>
          </w:tcPr>
          <w:p>
            <w:pPr>
              <w:spacing w:line="340" w:lineRule="exact"/>
              <w:rPr>
                <w:rFonts w:hint="default" w:ascii="Times New Roman" w:hAnsi="Times New Roman" w:cs="Times New Roman" w:eastAsiaTheme="minorEastAsia"/>
                <w:color w:val="000000"/>
                <w:sz w:val="22"/>
                <w:szCs w:val="22"/>
              </w:rPr>
            </w:pPr>
          </w:p>
        </w:tc>
        <w:tc>
          <w:tcPr>
            <w:tcW w:w="12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30702</w:t>
            </w:r>
          </w:p>
        </w:tc>
        <w:tc>
          <w:tcPr>
            <w:tcW w:w="282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国外债务付息</w:t>
            </w:r>
          </w:p>
        </w:tc>
        <w:tc>
          <w:tcPr>
            <w:tcW w:w="2336"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11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39999</w:t>
            </w:r>
          </w:p>
        </w:tc>
        <w:tc>
          <w:tcPr>
            <w:tcW w:w="4075" w:type="dxa"/>
            <w:tcBorders>
              <w:top w:val="nil"/>
              <w:left w:val="nil"/>
              <w:bottom w:val="single" w:color="000000" w:sz="4" w:space="0"/>
              <w:right w:val="nil"/>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其他支出</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wordWrap w:val="0"/>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290" w:hRule="atLeast"/>
        </w:trPr>
        <w:tc>
          <w:tcPr>
            <w:tcW w:w="1333" w:type="dxa"/>
            <w:tcBorders>
              <w:top w:val="nil"/>
              <w:left w:val="single" w:color="000000" w:sz="4" w:space="0"/>
              <w:bottom w:val="single" w:color="000000" w:sz="4" w:space="0"/>
              <w:right w:val="single" w:color="000000" w:sz="4" w:space="0"/>
            </w:tcBorders>
            <w:shd w:val="clear" w:color="auto" w:fill="auto"/>
            <w:vAlign w:val="center"/>
          </w:tcPr>
          <w:p>
            <w:pPr>
              <w:spacing w:line="340" w:lineRule="exact"/>
              <w:rPr>
                <w:rFonts w:hint="default" w:ascii="Times New Roman" w:hAnsi="Times New Roman" w:cs="Times New Roman"/>
                <w:color w:val="000000"/>
                <w:sz w:val="22"/>
                <w:szCs w:val="22"/>
              </w:rPr>
            </w:pPr>
          </w:p>
        </w:tc>
        <w:tc>
          <w:tcPr>
            <w:tcW w:w="3569" w:type="dxa"/>
            <w:tcBorders>
              <w:top w:val="nil"/>
              <w:left w:val="nil"/>
              <w:bottom w:val="single" w:color="000000" w:sz="4" w:space="0"/>
              <w:right w:val="nil"/>
            </w:tcBorders>
            <w:shd w:val="clear" w:color="auto" w:fill="auto"/>
            <w:vAlign w:val="center"/>
          </w:tcPr>
          <w:p>
            <w:pPr>
              <w:spacing w:line="340" w:lineRule="exact"/>
              <w:rPr>
                <w:rFonts w:hint="default" w:ascii="Times New Roman" w:hAnsi="Times New Roman" w:cs="Times New Roman"/>
                <w:color w:val="000000"/>
                <w:sz w:val="22"/>
                <w:szCs w:val="22"/>
              </w:rPr>
            </w:pPr>
          </w:p>
        </w:tc>
        <w:tc>
          <w:tcPr>
            <w:tcW w:w="2617" w:type="dxa"/>
            <w:tcBorders>
              <w:top w:val="single" w:color="000000" w:sz="4" w:space="0"/>
              <w:left w:val="single" w:color="000000" w:sz="4" w:space="0"/>
              <w:bottom w:val="single" w:color="000000" w:sz="4" w:space="0"/>
              <w:right w:val="single" w:color="000000" w:sz="4" w:space="0"/>
            </w:tcBorders>
            <w:shd w:val="clear" w:color="auto" w:fill="auto"/>
            <w:vAlign w:val="bottom"/>
          </w:tcPr>
          <w:p>
            <w:pPr>
              <w:spacing w:line="340" w:lineRule="exact"/>
              <w:rPr>
                <w:rFonts w:hint="default" w:ascii="Times New Roman" w:hAnsi="Times New Roman" w:cs="Times New Roman" w:eastAsiaTheme="minorEastAsia"/>
                <w:color w:val="000000"/>
                <w:sz w:val="22"/>
                <w:szCs w:val="22"/>
              </w:rPr>
            </w:pPr>
          </w:p>
        </w:tc>
        <w:tc>
          <w:tcPr>
            <w:tcW w:w="12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30703</w:t>
            </w:r>
          </w:p>
        </w:tc>
        <w:tc>
          <w:tcPr>
            <w:tcW w:w="282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国内债务发行费用</w:t>
            </w:r>
          </w:p>
        </w:tc>
        <w:tc>
          <w:tcPr>
            <w:tcW w:w="2336"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1118" w:type="dxa"/>
            <w:tcBorders>
              <w:top w:val="nil"/>
              <w:left w:val="nil"/>
              <w:bottom w:val="single" w:color="000000" w:sz="4" w:space="0"/>
              <w:right w:val="single" w:color="000000" w:sz="4" w:space="0"/>
            </w:tcBorders>
            <w:shd w:val="clear" w:color="auto" w:fill="auto"/>
            <w:vAlign w:val="center"/>
          </w:tcPr>
          <w:p>
            <w:pPr>
              <w:spacing w:line="340" w:lineRule="exact"/>
              <w:rPr>
                <w:rFonts w:hint="default" w:ascii="Times New Roman" w:hAnsi="Times New Roman" w:cs="Times New Roman"/>
                <w:color w:val="000000"/>
                <w:sz w:val="22"/>
                <w:szCs w:val="22"/>
              </w:rPr>
            </w:pPr>
          </w:p>
        </w:tc>
        <w:tc>
          <w:tcPr>
            <w:tcW w:w="4075" w:type="dxa"/>
            <w:tcBorders>
              <w:top w:val="nil"/>
              <w:left w:val="nil"/>
              <w:bottom w:val="single" w:color="000000" w:sz="4" w:space="0"/>
              <w:right w:val="nil"/>
            </w:tcBorders>
            <w:shd w:val="clear" w:color="auto" w:fill="auto"/>
            <w:vAlign w:val="center"/>
          </w:tcPr>
          <w:p>
            <w:pPr>
              <w:spacing w:line="340" w:lineRule="exact"/>
              <w:rPr>
                <w:rFonts w:hint="default" w:ascii="Times New Roman" w:hAnsi="Times New Roman" w:cs="Times New Roman"/>
                <w:color w:val="000000"/>
                <w:sz w:val="22"/>
                <w:szCs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right"/>
              <w:rPr>
                <w:rFonts w:hint="default" w:ascii="Times New Roman" w:hAnsi="Times New Roman" w:cs="Times New Roman"/>
                <w:color w:val="000000"/>
                <w:sz w:val="22"/>
                <w:szCs w:val="22"/>
              </w:rPr>
            </w:pPr>
          </w:p>
        </w:tc>
      </w:tr>
      <w:tr>
        <w:tblPrEx>
          <w:tblCellMar>
            <w:top w:w="0" w:type="dxa"/>
            <w:left w:w="108" w:type="dxa"/>
            <w:bottom w:w="0" w:type="dxa"/>
            <w:right w:w="108" w:type="dxa"/>
          </w:tblCellMar>
        </w:tblPrEx>
        <w:trPr>
          <w:trHeight w:val="290" w:hRule="atLeast"/>
        </w:trPr>
        <w:tc>
          <w:tcPr>
            <w:tcW w:w="1333" w:type="dxa"/>
            <w:tcBorders>
              <w:top w:val="nil"/>
              <w:left w:val="single" w:color="000000" w:sz="4" w:space="0"/>
              <w:bottom w:val="single" w:color="000000" w:sz="4" w:space="0"/>
              <w:right w:val="single" w:color="000000" w:sz="4" w:space="0"/>
            </w:tcBorders>
            <w:shd w:val="clear" w:color="auto" w:fill="auto"/>
            <w:vAlign w:val="center"/>
          </w:tcPr>
          <w:p>
            <w:pPr>
              <w:spacing w:line="340" w:lineRule="exact"/>
              <w:rPr>
                <w:rFonts w:hint="default" w:ascii="Times New Roman" w:hAnsi="Times New Roman" w:cs="Times New Roman"/>
                <w:color w:val="000000"/>
                <w:sz w:val="22"/>
                <w:szCs w:val="22"/>
              </w:rPr>
            </w:pPr>
          </w:p>
        </w:tc>
        <w:tc>
          <w:tcPr>
            <w:tcW w:w="3569" w:type="dxa"/>
            <w:tcBorders>
              <w:top w:val="nil"/>
              <w:left w:val="nil"/>
              <w:bottom w:val="single" w:color="000000" w:sz="4" w:space="0"/>
              <w:right w:val="nil"/>
            </w:tcBorders>
            <w:shd w:val="clear" w:color="auto" w:fill="auto"/>
            <w:vAlign w:val="center"/>
          </w:tcPr>
          <w:p>
            <w:pPr>
              <w:spacing w:line="340" w:lineRule="exact"/>
              <w:rPr>
                <w:rFonts w:hint="default" w:ascii="Times New Roman" w:hAnsi="Times New Roman" w:cs="Times New Roman"/>
                <w:color w:val="000000"/>
                <w:sz w:val="22"/>
                <w:szCs w:val="22"/>
              </w:rPr>
            </w:pPr>
          </w:p>
        </w:tc>
        <w:tc>
          <w:tcPr>
            <w:tcW w:w="2617" w:type="dxa"/>
            <w:tcBorders>
              <w:top w:val="single" w:color="000000" w:sz="4" w:space="0"/>
              <w:left w:val="single" w:color="000000" w:sz="4" w:space="0"/>
              <w:bottom w:val="single" w:color="000000" w:sz="4" w:space="0"/>
              <w:right w:val="single" w:color="000000" w:sz="4" w:space="0"/>
            </w:tcBorders>
            <w:shd w:val="clear" w:color="auto" w:fill="auto"/>
            <w:vAlign w:val="bottom"/>
          </w:tcPr>
          <w:p>
            <w:pPr>
              <w:spacing w:line="340" w:lineRule="exact"/>
              <w:rPr>
                <w:rFonts w:hint="default" w:ascii="Times New Roman" w:hAnsi="Times New Roman" w:cs="Times New Roman" w:eastAsiaTheme="minorEastAsia"/>
                <w:color w:val="000000"/>
                <w:sz w:val="22"/>
                <w:szCs w:val="22"/>
              </w:rPr>
            </w:pPr>
          </w:p>
        </w:tc>
        <w:tc>
          <w:tcPr>
            <w:tcW w:w="1218"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30704</w:t>
            </w:r>
          </w:p>
        </w:tc>
        <w:tc>
          <w:tcPr>
            <w:tcW w:w="282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  国外债务发行费用</w:t>
            </w:r>
          </w:p>
        </w:tc>
        <w:tc>
          <w:tcPr>
            <w:tcW w:w="2336" w:type="dxa"/>
            <w:tcBorders>
              <w:top w:val="nil"/>
              <w:left w:val="nil"/>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1118" w:type="dxa"/>
            <w:tcBorders>
              <w:top w:val="nil"/>
              <w:left w:val="nil"/>
              <w:bottom w:val="single" w:color="000000" w:sz="4" w:space="0"/>
              <w:right w:val="single" w:color="000000" w:sz="4" w:space="0"/>
            </w:tcBorders>
            <w:shd w:val="clear" w:color="auto" w:fill="auto"/>
            <w:vAlign w:val="center"/>
          </w:tcPr>
          <w:p>
            <w:pPr>
              <w:spacing w:line="340" w:lineRule="exact"/>
              <w:rPr>
                <w:rFonts w:hint="default" w:ascii="Times New Roman" w:hAnsi="Times New Roman" w:cs="Times New Roman"/>
                <w:color w:val="000000"/>
                <w:sz w:val="22"/>
                <w:szCs w:val="22"/>
              </w:rPr>
            </w:pPr>
          </w:p>
        </w:tc>
        <w:tc>
          <w:tcPr>
            <w:tcW w:w="4075" w:type="dxa"/>
            <w:tcBorders>
              <w:top w:val="nil"/>
              <w:left w:val="nil"/>
              <w:bottom w:val="single" w:color="000000" w:sz="4" w:space="0"/>
              <w:right w:val="nil"/>
            </w:tcBorders>
            <w:shd w:val="clear" w:color="auto" w:fill="auto"/>
            <w:vAlign w:val="center"/>
          </w:tcPr>
          <w:p>
            <w:pPr>
              <w:spacing w:line="340" w:lineRule="exact"/>
              <w:rPr>
                <w:rFonts w:hint="default" w:ascii="Times New Roman" w:hAnsi="Times New Roman" w:cs="Times New Roman"/>
                <w:color w:val="000000"/>
                <w:sz w:val="22"/>
                <w:szCs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right"/>
              <w:rPr>
                <w:rFonts w:hint="default" w:ascii="Times New Roman" w:hAnsi="Times New Roman" w:cs="Times New Roman"/>
                <w:color w:val="000000"/>
                <w:sz w:val="22"/>
                <w:szCs w:val="22"/>
              </w:rPr>
            </w:pPr>
          </w:p>
        </w:tc>
      </w:tr>
      <w:tr>
        <w:tblPrEx>
          <w:tblCellMar>
            <w:top w:w="0" w:type="dxa"/>
            <w:left w:w="108" w:type="dxa"/>
            <w:bottom w:w="0" w:type="dxa"/>
            <w:right w:w="108" w:type="dxa"/>
          </w:tblCellMar>
        </w:tblPrEx>
        <w:trPr>
          <w:trHeight w:val="290" w:hRule="atLeast"/>
        </w:trPr>
        <w:tc>
          <w:tcPr>
            <w:tcW w:w="1333" w:type="dxa"/>
            <w:tcBorders>
              <w:top w:val="nil"/>
              <w:left w:val="single" w:color="000000" w:sz="4" w:space="0"/>
              <w:bottom w:val="single" w:color="000000" w:sz="4" w:space="0"/>
              <w:right w:val="single" w:color="000000" w:sz="4" w:space="0"/>
            </w:tcBorders>
            <w:shd w:val="clear" w:color="auto" w:fill="auto"/>
            <w:vAlign w:val="center"/>
          </w:tcPr>
          <w:p>
            <w:pPr>
              <w:spacing w:line="340" w:lineRule="exact"/>
              <w:rPr>
                <w:rFonts w:hint="default" w:ascii="Times New Roman" w:hAnsi="Times New Roman" w:cs="Times New Roman"/>
                <w:color w:val="000000"/>
                <w:sz w:val="22"/>
                <w:szCs w:val="22"/>
              </w:rPr>
            </w:pPr>
          </w:p>
        </w:tc>
        <w:tc>
          <w:tcPr>
            <w:tcW w:w="3569" w:type="dxa"/>
            <w:tcBorders>
              <w:top w:val="nil"/>
              <w:left w:val="nil"/>
              <w:bottom w:val="single" w:color="000000" w:sz="4" w:space="0"/>
              <w:right w:val="nil"/>
            </w:tcBorders>
            <w:shd w:val="clear" w:color="auto" w:fill="auto"/>
            <w:vAlign w:val="center"/>
          </w:tcPr>
          <w:p>
            <w:pPr>
              <w:spacing w:line="340" w:lineRule="exact"/>
              <w:rPr>
                <w:rFonts w:hint="default" w:ascii="Times New Roman" w:hAnsi="Times New Roman" w:cs="Times New Roman"/>
                <w:color w:val="000000"/>
                <w:sz w:val="22"/>
                <w:szCs w:val="22"/>
              </w:rPr>
            </w:pPr>
          </w:p>
        </w:tc>
        <w:tc>
          <w:tcPr>
            <w:tcW w:w="2617" w:type="dxa"/>
            <w:tcBorders>
              <w:top w:val="single" w:color="000000" w:sz="4" w:space="0"/>
              <w:left w:val="single" w:color="000000" w:sz="4" w:space="0"/>
              <w:bottom w:val="single" w:color="000000" w:sz="4" w:space="0"/>
              <w:right w:val="single" w:color="000000" w:sz="4" w:space="0"/>
            </w:tcBorders>
            <w:shd w:val="clear" w:color="auto" w:fill="auto"/>
            <w:vAlign w:val="bottom"/>
          </w:tcPr>
          <w:p>
            <w:pPr>
              <w:spacing w:line="340" w:lineRule="exact"/>
              <w:rPr>
                <w:rFonts w:hint="default" w:ascii="Times New Roman" w:hAnsi="Times New Roman" w:cs="Times New Roman" w:eastAsiaTheme="minorEastAsia"/>
                <w:color w:val="000000"/>
                <w:sz w:val="22"/>
                <w:szCs w:val="22"/>
              </w:rPr>
            </w:pPr>
          </w:p>
        </w:tc>
        <w:tc>
          <w:tcPr>
            <w:tcW w:w="1218" w:type="dxa"/>
            <w:tcBorders>
              <w:top w:val="nil"/>
              <w:left w:val="nil"/>
              <w:bottom w:val="single" w:color="000000" w:sz="4" w:space="0"/>
              <w:right w:val="single" w:color="000000" w:sz="4" w:space="0"/>
            </w:tcBorders>
            <w:shd w:val="clear" w:color="auto" w:fill="auto"/>
            <w:vAlign w:val="center"/>
          </w:tcPr>
          <w:p>
            <w:pPr>
              <w:wordWrap w:val="0"/>
              <w:spacing w:line="340" w:lineRule="exact"/>
              <w:jc w:val="right"/>
              <w:textAlignment w:val="center"/>
              <w:rPr>
                <w:rFonts w:hint="default" w:ascii="Times New Roman" w:hAnsi="Times New Roman" w:cs="Times New Roman"/>
                <w:color w:val="000000"/>
                <w:sz w:val="22"/>
                <w:szCs w:val="22"/>
              </w:rPr>
            </w:pPr>
          </w:p>
        </w:tc>
        <w:tc>
          <w:tcPr>
            <w:tcW w:w="2829" w:type="dxa"/>
            <w:tcBorders>
              <w:top w:val="nil"/>
              <w:left w:val="nil"/>
              <w:bottom w:val="single" w:color="000000" w:sz="4" w:space="0"/>
              <w:right w:val="single" w:color="000000" w:sz="4" w:space="0"/>
            </w:tcBorders>
            <w:shd w:val="clear" w:color="auto" w:fill="auto"/>
            <w:vAlign w:val="center"/>
          </w:tcPr>
          <w:p>
            <w:pPr>
              <w:spacing w:line="340" w:lineRule="exact"/>
              <w:textAlignment w:val="center"/>
              <w:rPr>
                <w:rFonts w:hint="default" w:ascii="Times New Roman" w:hAnsi="Times New Roman" w:cs="Times New Roman"/>
                <w:color w:val="000000"/>
                <w:sz w:val="22"/>
                <w:szCs w:val="22"/>
              </w:rPr>
            </w:pPr>
          </w:p>
        </w:tc>
        <w:tc>
          <w:tcPr>
            <w:tcW w:w="2336" w:type="dxa"/>
            <w:tcBorders>
              <w:top w:val="nil"/>
              <w:left w:val="nil"/>
              <w:bottom w:val="single" w:color="000000" w:sz="4" w:space="0"/>
              <w:right w:val="single" w:color="000000" w:sz="4" w:space="0"/>
            </w:tcBorders>
            <w:shd w:val="clear" w:color="auto" w:fill="auto"/>
            <w:vAlign w:val="center"/>
          </w:tcPr>
          <w:p>
            <w:pPr>
              <w:wordWrap w:val="0"/>
              <w:spacing w:line="340" w:lineRule="exact"/>
              <w:jc w:val="right"/>
              <w:textAlignment w:val="center"/>
              <w:rPr>
                <w:rFonts w:hint="default" w:ascii="Times New Roman" w:hAnsi="Times New Roman" w:cs="Times New Roman"/>
                <w:color w:val="000000"/>
                <w:sz w:val="22"/>
                <w:szCs w:val="22"/>
              </w:rPr>
            </w:pPr>
          </w:p>
        </w:tc>
        <w:tc>
          <w:tcPr>
            <w:tcW w:w="1118" w:type="dxa"/>
            <w:tcBorders>
              <w:top w:val="nil"/>
              <w:left w:val="nil"/>
              <w:bottom w:val="single" w:color="000000" w:sz="4" w:space="0"/>
              <w:right w:val="single" w:color="000000" w:sz="4" w:space="0"/>
            </w:tcBorders>
            <w:shd w:val="clear" w:color="auto" w:fill="auto"/>
            <w:vAlign w:val="center"/>
          </w:tcPr>
          <w:p>
            <w:pPr>
              <w:spacing w:line="340" w:lineRule="exact"/>
              <w:rPr>
                <w:rFonts w:hint="default" w:ascii="Times New Roman" w:hAnsi="Times New Roman" w:cs="Times New Roman"/>
                <w:color w:val="000000"/>
                <w:sz w:val="22"/>
                <w:szCs w:val="22"/>
              </w:rPr>
            </w:pPr>
          </w:p>
        </w:tc>
        <w:tc>
          <w:tcPr>
            <w:tcW w:w="4075" w:type="dxa"/>
            <w:tcBorders>
              <w:top w:val="nil"/>
              <w:left w:val="nil"/>
              <w:bottom w:val="single" w:color="000000" w:sz="4" w:space="0"/>
              <w:right w:val="nil"/>
            </w:tcBorders>
            <w:shd w:val="clear" w:color="auto" w:fill="auto"/>
            <w:vAlign w:val="center"/>
          </w:tcPr>
          <w:p>
            <w:pPr>
              <w:spacing w:line="340" w:lineRule="exact"/>
              <w:rPr>
                <w:rFonts w:hint="default" w:ascii="Times New Roman" w:hAnsi="Times New Roman" w:cs="Times New Roman"/>
                <w:color w:val="000000"/>
                <w:sz w:val="22"/>
                <w:szCs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right"/>
              <w:rPr>
                <w:rFonts w:hint="default" w:ascii="Times New Roman" w:hAnsi="Times New Roman" w:cs="Times New Roman"/>
                <w:color w:val="000000"/>
                <w:sz w:val="22"/>
                <w:szCs w:val="22"/>
              </w:rPr>
            </w:pPr>
          </w:p>
        </w:tc>
      </w:tr>
      <w:tr>
        <w:tblPrEx>
          <w:tblCellMar>
            <w:top w:w="0" w:type="dxa"/>
            <w:left w:w="108" w:type="dxa"/>
            <w:bottom w:w="0" w:type="dxa"/>
            <w:right w:w="108" w:type="dxa"/>
          </w:tblCellMar>
        </w:tblPrEx>
        <w:trPr>
          <w:trHeight w:val="298" w:hRule="atLeast"/>
        </w:trPr>
        <w:tc>
          <w:tcPr>
            <w:tcW w:w="4902" w:type="dxa"/>
            <w:gridSpan w:val="2"/>
            <w:tcBorders>
              <w:top w:val="nil"/>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人员经费合计</w:t>
            </w:r>
          </w:p>
        </w:tc>
        <w:tc>
          <w:tcPr>
            <w:tcW w:w="2617" w:type="dxa"/>
            <w:tcBorders>
              <w:top w:val="single" w:color="000000" w:sz="4" w:space="0"/>
              <w:left w:val="single" w:color="000000" w:sz="4" w:space="0"/>
              <w:bottom w:val="single" w:color="000000" w:sz="4" w:space="0"/>
              <w:right w:val="single" w:color="000000" w:sz="4" w:space="0"/>
            </w:tcBorders>
            <w:shd w:val="clear" w:color="auto" w:fill="auto"/>
            <w:vAlign w:val="bottom"/>
          </w:tcPr>
          <w:p>
            <w:pPr>
              <w:wordWrap w:val="0"/>
              <w:spacing w:line="340" w:lineRule="exact"/>
              <w:jc w:val="right"/>
              <w:textAlignment w:val="bottom"/>
              <w:rPr>
                <w:rFonts w:hint="default" w:ascii="Times New Roman" w:hAnsi="Times New Roman" w:cs="Times New Roman" w:eastAsiaTheme="minorEastAsia"/>
                <w:color w:val="000000"/>
                <w:sz w:val="22"/>
                <w:szCs w:val="22"/>
              </w:rPr>
            </w:pPr>
            <w:r>
              <w:rPr>
                <w:rFonts w:hint="default" w:ascii="Times New Roman" w:hAnsi="Times New Roman" w:cs="Times New Roman" w:eastAsiaTheme="minorEastAsia"/>
                <w:color w:val="000000"/>
                <w:sz w:val="22"/>
                <w:szCs w:val="22"/>
              </w:rPr>
              <w:t xml:space="preserve">2200.01  </w:t>
            </w:r>
          </w:p>
        </w:tc>
        <w:tc>
          <w:tcPr>
            <w:tcW w:w="11576" w:type="dxa"/>
            <w:gridSpan w:val="5"/>
            <w:tcBorders>
              <w:top w:val="nil"/>
              <w:left w:val="nil"/>
              <w:bottom w:val="single" w:color="000000" w:sz="4" w:space="0"/>
              <w:right w:val="single" w:color="000000" w:sz="4" w:space="0"/>
            </w:tcBorders>
            <w:shd w:val="clear" w:color="auto" w:fill="auto"/>
            <w:vAlign w:val="center"/>
          </w:tcPr>
          <w:p>
            <w:pPr>
              <w:spacing w:line="340" w:lineRule="exact"/>
              <w:jc w:val="center"/>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公用经费合计</w:t>
            </w:r>
          </w:p>
        </w:tc>
        <w:tc>
          <w:tcPr>
            <w:tcW w:w="2490" w:type="dxa"/>
            <w:tcBorders>
              <w:top w:val="nil"/>
              <w:left w:val="nil"/>
              <w:bottom w:val="single" w:color="000000" w:sz="4" w:space="0"/>
              <w:right w:val="single" w:color="000000" w:sz="4" w:space="0"/>
            </w:tcBorders>
            <w:shd w:val="clear" w:color="auto" w:fill="auto"/>
            <w:vAlign w:val="center"/>
          </w:tcPr>
          <w:p>
            <w:pPr>
              <w:wordWrap w:val="0"/>
              <w:spacing w:line="34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527.75 </w:t>
            </w:r>
          </w:p>
        </w:tc>
      </w:tr>
    </w:tbl>
    <w:p>
      <w:pPr>
        <w:rPr>
          <w:rFonts w:hint="default" w:ascii="Times New Roman" w:hAnsi="Times New Roman" w:cs="Times New Roman"/>
          <w:sz w:val="21"/>
          <w:szCs w:val="21"/>
        </w:rPr>
      </w:pPr>
      <w:r>
        <w:rPr>
          <w:rFonts w:hint="default" w:ascii="Times New Roman" w:hAnsi="Times New Roman" w:cs="Times New Roman"/>
          <w:sz w:val="20"/>
          <w:szCs w:val="20"/>
        </w:rPr>
        <w:t>备注：本表反映单位本年度一般公共预算财政拨款基本支出明细情况。本单位无相关数据，故本表为空。</w:t>
      </w:r>
      <w:r>
        <w:rPr>
          <w:rFonts w:hint="default" w:ascii="Times New Roman" w:hAnsi="Times New Roman" w:cs="Times New Roman"/>
          <w:sz w:val="20"/>
          <w:szCs w:val="20"/>
        </w:rPr>
        <w:br w:type="textWrapping"/>
      </w:r>
      <w:r>
        <w:rPr>
          <w:rFonts w:hint="default" w:ascii="Times New Roman" w:hAnsi="Times New Roman" w:cs="Times New Roman"/>
          <w:sz w:val="20"/>
          <w:szCs w:val="20"/>
        </w:rPr>
        <w:br w:type="textWrapping"/>
      </w:r>
      <w:r>
        <w:rPr>
          <w:rFonts w:hint="default" w:ascii="Times New Roman" w:hAnsi="Times New Roman" w:cs="Times New Roman"/>
          <w:sz w:val="21"/>
          <w:szCs w:val="21"/>
        </w:rPr>
        <w:br w:type="page"/>
      </w:r>
    </w:p>
    <w:tbl>
      <w:tblPr>
        <w:tblStyle w:val="7"/>
        <w:tblW w:w="22240" w:type="dxa"/>
        <w:tblInd w:w="-1090" w:type="dxa"/>
        <w:tblLayout w:type="fixed"/>
        <w:tblCellMar>
          <w:top w:w="0" w:type="dxa"/>
          <w:left w:w="108" w:type="dxa"/>
          <w:bottom w:w="0" w:type="dxa"/>
          <w:right w:w="108" w:type="dxa"/>
        </w:tblCellMar>
      </w:tblPr>
      <w:tblGrid>
        <w:gridCol w:w="350"/>
        <w:gridCol w:w="437"/>
        <w:gridCol w:w="413"/>
        <w:gridCol w:w="2537"/>
        <w:gridCol w:w="1113"/>
        <w:gridCol w:w="1087"/>
        <w:gridCol w:w="993"/>
        <w:gridCol w:w="1721"/>
        <w:gridCol w:w="1607"/>
        <w:gridCol w:w="1626"/>
        <w:gridCol w:w="1689"/>
        <w:gridCol w:w="1639"/>
        <w:gridCol w:w="1673"/>
        <w:gridCol w:w="1527"/>
        <w:gridCol w:w="1286"/>
        <w:gridCol w:w="1425"/>
        <w:gridCol w:w="1117"/>
      </w:tblGrid>
      <w:tr>
        <w:tblPrEx>
          <w:tblCellMar>
            <w:top w:w="0" w:type="dxa"/>
            <w:left w:w="108" w:type="dxa"/>
            <w:bottom w:w="0" w:type="dxa"/>
            <w:right w:w="108" w:type="dxa"/>
          </w:tblCellMar>
        </w:tblPrEx>
        <w:trPr>
          <w:trHeight w:val="644" w:hRule="atLeast"/>
        </w:trPr>
        <w:tc>
          <w:tcPr>
            <w:tcW w:w="22240" w:type="dxa"/>
            <w:gridSpan w:val="17"/>
            <w:tcBorders>
              <w:top w:val="nil"/>
              <w:left w:val="nil"/>
              <w:bottom w:val="nil"/>
              <w:right w:val="nil"/>
            </w:tcBorders>
            <w:shd w:val="clear" w:color="auto" w:fill="auto"/>
            <w:vAlign w:val="bottom"/>
          </w:tcPr>
          <w:p>
            <w:pPr>
              <w:ind w:left="-719" w:leftChars="-500" w:hanging="481" w:hangingChars="160"/>
              <w:jc w:val="center"/>
              <w:textAlignment w:val="bottom"/>
              <w:rPr>
                <w:rFonts w:hint="default" w:ascii="Times New Roman" w:hAnsi="Times New Roman" w:cs="Times New Roman"/>
                <w:color w:val="000000"/>
                <w:sz w:val="30"/>
                <w:szCs w:val="30"/>
              </w:rPr>
            </w:pPr>
            <w:r>
              <w:rPr>
                <w:rFonts w:hint="default" w:ascii="Times New Roman" w:hAnsi="Times New Roman" w:cs="Times New Roman"/>
                <w:b/>
                <w:bCs/>
                <w:color w:val="000000"/>
                <w:sz w:val="30"/>
                <w:szCs w:val="30"/>
              </w:rPr>
              <w:t>政府性基金预算财政拨款收入支出决算表</w:t>
            </w:r>
          </w:p>
        </w:tc>
      </w:tr>
      <w:tr>
        <w:tblPrEx>
          <w:tblCellMar>
            <w:top w:w="0" w:type="dxa"/>
            <w:left w:w="108" w:type="dxa"/>
            <w:bottom w:w="0" w:type="dxa"/>
            <w:right w:w="108" w:type="dxa"/>
          </w:tblCellMar>
        </w:tblPrEx>
        <w:trPr>
          <w:trHeight w:val="322" w:hRule="atLeast"/>
        </w:trPr>
        <w:tc>
          <w:tcPr>
            <w:tcW w:w="21123" w:type="dxa"/>
            <w:gridSpan w:val="16"/>
            <w:vMerge w:val="restart"/>
            <w:tcBorders>
              <w:top w:val="nil"/>
              <w:left w:val="nil"/>
              <w:right w:val="nil"/>
            </w:tcBorders>
            <w:shd w:val="clear" w:color="auto" w:fill="auto"/>
            <w:vAlign w:val="bottom"/>
          </w:tcPr>
          <w:p>
            <w:pPr>
              <w:rPr>
                <w:rFonts w:hint="default" w:ascii="Times New Roman" w:hAnsi="Times New Roman" w:cs="Times New Roman"/>
                <w:color w:val="000000"/>
                <w:sz w:val="20"/>
                <w:szCs w:val="20"/>
              </w:rPr>
            </w:pPr>
            <w:r>
              <w:rPr>
                <w:rFonts w:hint="default" w:ascii="Times New Roman" w:hAnsi="Times New Roman" w:cs="Times New Roman"/>
                <w:sz w:val="20"/>
                <w:szCs w:val="20"/>
              </w:rPr>
              <w:t>单位</w:t>
            </w:r>
            <w:r>
              <w:rPr>
                <w:rFonts w:hint="default" w:ascii="Times New Roman" w:hAnsi="Times New Roman" w:cs="Times New Roman"/>
                <w:color w:val="000000"/>
                <w:sz w:val="20"/>
                <w:szCs w:val="20"/>
              </w:rPr>
              <w:t>：</w:t>
            </w:r>
            <w:r>
              <w:rPr>
                <w:rFonts w:hint="default" w:ascii="Times New Roman" w:hAnsi="Times New Roman" w:cs="Times New Roman"/>
                <w:color w:val="000000"/>
                <w:sz w:val="20"/>
              </w:rPr>
              <w:t>重庆市涪陵区同乐镇人民政府</w:t>
            </w:r>
          </w:p>
        </w:tc>
        <w:tc>
          <w:tcPr>
            <w:tcW w:w="1117" w:type="dxa"/>
            <w:tcBorders>
              <w:top w:val="nil"/>
              <w:left w:val="nil"/>
              <w:bottom w:val="nil"/>
              <w:right w:val="nil"/>
            </w:tcBorders>
            <w:shd w:val="clear" w:color="auto" w:fill="auto"/>
            <w:vAlign w:val="bottom"/>
          </w:tcPr>
          <w:p>
            <w:pPr>
              <w:jc w:val="right"/>
              <w:textAlignment w:val="bottom"/>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公开07表</w:t>
            </w:r>
          </w:p>
        </w:tc>
      </w:tr>
      <w:tr>
        <w:tblPrEx>
          <w:tblCellMar>
            <w:top w:w="0" w:type="dxa"/>
            <w:left w:w="108" w:type="dxa"/>
            <w:bottom w:w="0" w:type="dxa"/>
            <w:right w:w="108" w:type="dxa"/>
          </w:tblCellMar>
        </w:tblPrEx>
        <w:trPr>
          <w:trHeight w:val="322" w:hRule="atLeast"/>
        </w:trPr>
        <w:tc>
          <w:tcPr>
            <w:tcW w:w="21123" w:type="dxa"/>
            <w:gridSpan w:val="16"/>
            <w:vMerge w:val="continue"/>
            <w:tcBorders>
              <w:left w:val="nil"/>
              <w:bottom w:val="nil"/>
              <w:right w:val="nil"/>
            </w:tcBorders>
            <w:shd w:val="clear" w:color="auto" w:fill="auto"/>
            <w:vAlign w:val="bottom"/>
          </w:tcPr>
          <w:p>
            <w:pPr>
              <w:rPr>
                <w:rFonts w:hint="default" w:ascii="Times New Roman" w:hAnsi="Times New Roman" w:cs="Times New Roman"/>
                <w:color w:val="000000"/>
                <w:sz w:val="20"/>
                <w:szCs w:val="20"/>
              </w:rPr>
            </w:pPr>
          </w:p>
        </w:tc>
        <w:tc>
          <w:tcPr>
            <w:tcW w:w="1117" w:type="dxa"/>
            <w:tcBorders>
              <w:top w:val="nil"/>
              <w:left w:val="nil"/>
              <w:bottom w:val="nil"/>
              <w:right w:val="nil"/>
            </w:tcBorders>
            <w:shd w:val="clear" w:color="auto" w:fill="auto"/>
            <w:vAlign w:val="bottom"/>
          </w:tcPr>
          <w:p>
            <w:pPr>
              <w:jc w:val="right"/>
              <w:textAlignment w:val="bottom"/>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单位：万元</w:t>
            </w:r>
          </w:p>
        </w:tc>
      </w:tr>
      <w:tr>
        <w:tblPrEx>
          <w:tblCellMar>
            <w:top w:w="0" w:type="dxa"/>
            <w:left w:w="108" w:type="dxa"/>
            <w:bottom w:w="0" w:type="dxa"/>
            <w:right w:w="108" w:type="dxa"/>
          </w:tblCellMar>
        </w:tblPrEx>
        <w:trPr>
          <w:trHeight w:val="426" w:hRule="atLeast"/>
        </w:trPr>
        <w:tc>
          <w:tcPr>
            <w:tcW w:w="120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科目代码</w:t>
            </w:r>
          </w:p>
        </w:tc>
        <w:tc>
          <w:tcPr>
            <w:tcW w:w="2537" w:type="dxa"/>
            <w:vMerge w:val="restart"/>
            <w:tcBorders>
              <w:top w:val="single" w:color="000000" w:sz="4" w:space="0"/>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科目名称</w:t>
            </w:r>
          </w:p>
        </w:tc>
        <w:tc>
          <w:tcPr>
            <w:tcW w:w="3193" w:type="dxa"/>
            <w:gridSpan w:val="3"/>
            <w:tcBorders>
              <w:top w:val="single" w:color="000000" w:sz="4" w:space="0"/>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年初结转和结余</w:t>
            </w:r>
          </w:p>
        </w:tc>
        <w:tc>
          <w:tcPr>
            <w:tcW w:w="4954" w:type="dxa"/>
            <w:gridSpan w:val="3"/>
            <w:tcBorders>
              <w:top w:val="single" w:color="000000" w:sz="4" w:space="0"/>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本年收入</w:t>
            </w:r>
          </w:p>
        </w:tc>
        <w:tc>
          <w:tcPr>
            <w:tcW w:w="5001" w:type="dxa"/>
            <w:gridSpan w:val="3"/>
            <w:tcBorders>
              <w:top w:val="single" w:color="000000" w:sz="4" w:space="0"/>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本年支出</w:t>
            </w:r>
          </w:p>
        </w:tc>
        <w:tc>
          <w:tcPr>
            <w:tcW w:w="5355" w:type="dxa"/>
            <w:gridSpan w:val="4"/>
            <w:tcBorders>
              <w:top w:val="single" w:color="000000" w:sz="4" w:space="0"/>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年末结转和结余</w:t>
            </w:r>
          </w:p>
        </w:tc>
      </w:tr>
      <w:tr>
        <w:tblPrEx>
          <w:tblCellMar>
            <w:top w:w="0" w:type="dxa"/>
            <w:left w:w="108" w:type="dxa"/>
            <w:bottom w:w="0" w:type="dxa"/>
            <w:right w:w="108" w:type="dxa"/>
          </w:tblCellMar>
        </w:tblPrEx>
        <w:trPr>
          <w:trHeight w:val="426" w:hRule="atLeast"/>
        </w:trPr>
        <w:tc>
          <w:tcPr>
            <w:tcW w:w="12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b/>
                <w:bCs/>
                <w:color w:val="000000"/>
                <w:sz w:val="22"/>
                <w:szCs w:val="22"/>
              </w:rPr>
            </w:pPr>
          </w:p>
        </w:tc>
        <w:tc>
          <w:tcPr>
            <w:tcW w:w="2537" w:type="dxa"/>
            <w:vMerge w:val="continue"/>
            <w:tcBorders>
              <w:top w:val="single" w:color="000000" w:sz="4" w:space="0"/>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b/>
                <w:bCs/>
                <w:color w:val="000000"/>
                <w:sz w:val="22"/>
                <w:szCs w:val="22"/>
              </w:rPr>
            </w:pPr>
          </w:p>
        </w:tc>
        <w:tc>
          <w:tcPr>
            <w:tcW w:w="1113" w:type="dxa"/>
            <w:vMerge w:val="restart"/>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合计</w:t>
            </w:r>
          </w:p>
        </w:tc>
        <w:tc>
          <w:tcPr>
            <w:tcW w:w="1087" w:type="dxa"/>
            <w:vMerge w:val="restart"/>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基本支出结转</w:t>
            </w:r>
          </w:p>
        </w:tc>
        <w:tc>
          <w:tcPr>
            <w:tcW w:w="993" w:type="dxa"/>
            <w:vMerge w:val="restart"/>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项目支出结转和结余</w:t>
            </w:r>
          </w:p>
        </w:tc>
        <w:tc>
          <w:tcPr>
            <w:tcW w:w="1721" w:type="dxa"/>
            <w:vMerge w:val="restart"/>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合计</w:t>
            </w:r>
          </w:p>
        </w:tc>
        <w:tc>
          <w:tcPr>
            <w:tcW w:w="1607" w:type="dxa"/>
            <w:vMerge w:val="restart"/>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基本支出</w:t>
            </w:r>
          </w:p>
        </w:tc>
        <w:tc>
          <w:tcPr>
            <w:tcW w:w="1626" w:type="dxa"/>
            <w:vMerge w:val="restart"/>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项目支出</w:t>
            </w:r>
          </w:p>
        </w:tc>
        <w:tc>
          <w:tcPr>
            <w:tcW w:w="1689" w:type="dxa"/>
            <w:vMerge w:val="restart"/>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合计</w:t>
            </w:r>
          </w:p>
        </w:tc>
        <w:tc>
          <w:tcPr>
            <w:tcW w:w="1639" w:type="dxa"/>
            <w:vMerge w:val="restart"/>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基本支出</w:t>
            </w:r>
          </w:p>
        </w:tc>
        <w:tc>
          <w:tcPr>
            <w:tcW w:w="1673" w:type="dxa"/>
            <w:vMerge w:val="restart"/>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项目支出</w:t>
            </w:r>
          </w:p>
        </w:tc>
        <w:tc>
          <w:tcPr>
            <w:tcW w:w="1527" w:type="dxa"/>
            <w:vMerge w:val="restart"/>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合计</w:t>
            </w:r>
          </w:p>
        </w:tc>
        <w:tc>
          <w:tcPr>
            <w:tcW w:w="1286" w:type="dxa"/>
            <w:vMerge w:val="restart"/>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基本支出结转</w:t>
            </w:r>
          </w:p>
        </w:tc>
        <w:tc>
          <w:tcPr>
            <w:tcW w:w="2542" w:type="dxa"/>
            <w:gridSpan w:val="2"/>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项目支出结转和结余</w:t>
            </w:r>
          </w:p>
        </w:tc>
      </w:tr>
      <w:tr>
        <w:tblPrEx>
          <w:tblCellMar>
            <w:top w:w="0" w:type="dxa"/>
            <w:left w:w="108" w:type="dxa"/>
            <w:bottom w:w="0" w:type="dxa"/>
            <w:right w:w="108" w:type="dxa"/>
          </w:tblCellMar>
        </w:tblPrEx>
        <w:trPr>
          <w:trHeight w:val="400" w:hRule="atLeast"/>
        </w:trPr>
        <w:tc>
          <w:tcPr>
            <w:tcW w:w="12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b/>
                <w:bCs/>
                <w:color w:val="000000"/>
                <w:sz w:val="22"/>
                <w:szCs w:val="22"/>
              </w:rPr>
            </w:pPr>
          </w:p>
        </w:tc>
        <w:tc>
          <w:tcPr>
            <w:tcW w:w="2537" w:type="dxa"/>
            <w:vMerge w:val="continue"/>
            <w:tcBorders>
              <w:top w:val="single" w:color="000000" w:sz="4" w:space="0"/>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b/>
                <w:bCs/>
                <w:color w:val="000000"/>
                <w:sz w:val="22"/>
                <w:szCs w:val="22"/>
              </w:rPr>
            </w:pPr>
          </w:p>
        </w:tc>
        <w:tc>
          <w:tcPr>
            <w:tcW w:w="1113" w:type="dxa"/>
            <w:vMerge w:val="continue"/>
            <w:tcBorders>
              <w:top w:val="nil"/>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b/>
                <w:bCs/>
                <w:color w:val="000000"/>
                <w:sz w:val="22"/>
                <w:szCs w:val="22"/>
              </w:rPr>
            </w:pPr>
          </w:p>
        </w:tc>
        <w:tc>
          <w:tcPr>
            <w:tcW w:w="1087" w:type="dxa"/>
            <w:vMerge w:val="continue"/>
            <w:tcBorders>
              <w:top w:val="nil"/>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b/>
                <w:bCs/>
                <w:color w:val="000000"/>
                <w:sz w:val="22"/>
                <w:szCs w:val="22"/>
              </w:rPr>
            </w:pPr>
          </w:p>
        </w:tc>
        <w:tc>
          <w:tcPr>
            <w:tcW w:w="993" w:type="dxa"/>
            <w:vMerge w:val="continue"/>
            <w:tcBorders>
              <w:top w:val="nil"/>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b/>
                <w:bCs/>
                <w:color w:val="000000"/>
                <w:sz w:val="22"/>
                <w:szCs w:val="22"/>
              </w:rPr>
            </w:pPr>
          </w:p>
        </w:tc>
        <w:tc>
          <w:tcPr>
            <w:tcW w:w="1721" w:type="dxa"/>
            <w:vMerge w:val="continue"/>
            <w:tcBorders>
              <w:top w:val="nil"/>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b/>
                <w:bCs/>
                <w:color w:val="000000"/>
                <w:sz w:val="22"/>
                <w:szCs w:val="22"/>
              </w:rPr>
            </w:pPr>
          </w:p>
        </w:tc>
        <w:tc>
          <w:tcPr>
            <w:tcW w:w="1607" w:type="dxa"/>
            <w:vMerge w:val="continue"/>
            <w:tcBorders>
              <w:top w:val="nil"/>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b/>
                <w:bCs/>
                <w:color w:val="000000"/>
                <w:sz w:val="22"/>
                <w:szCs w:val="22"/>
              </w:rPr>
            </w:pPr>
          </w:p>
        </w:tc>
        <w:tc>
          <w:tcPr>
            <w:tcW w:w="1626" w:type="dxa"/>
            <w:vMerge w:val="continue"/>
            <w:tcBorders>
              <w:top w:val="nil"/>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b/>
                <w:bCs/>
                <w:color w:val="000000"/>
                <w:sz w:val="22"/>
                <w:szCs w:val="22"/>
              </w:rPr>
            </w:pPr>
          </w:p>
        </w:tc>
        <w:tc>
          <w:tcPr>
            <w:tcW w:w="1689" w:type="dxa"/>
            <w:vMerge w:val="continue"/>
            <w:tcBorders>
              <w:top w:val="nil"/>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b/>
                <w:bCs/>
                <w:color w:val="000000"/>
                <w:sz w:val="22"/>
                <w:szCs w:val="22"/>
              </w:rPr>
            </w:pPr>
          </w:p>
        </w:tc>
        <w:tc>
          <w:tcPr>
            <w:tcW w:w="1639" w:type="dxa"/>
            <w:vMerge w:val="continue"/>
            <w:tcBorders>
              <w:top w:val="nil"/>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b/>
                <w:bCs/>
                <w:color w:val="000000"/>
                <w:sz w:val="22"/>
                <w:szCs w:val="22"/>
              </w:rPr>
            </w:pPr>
          </w:p>
        </w:tc>
        <w:tc>
          <w:tcPr>
            <w:tcW w:w="1673" w:type="dxa"/>
            <w:vMerge w:val="continue"/>
            <w:tcBorders>
              <w:top w:val="nil"/>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b/>
                <w:bCs/>
                <w:color w:val="000000"/>
                <w:sz w:val="22"/>
                <w:szCs w:val="22"/>
              </w:rPr>
            </w:pPr>
          </w:p>
        </w:tc>
        <w:tc>
          <w:tcPr>
            <w:tcW w:w="1527" w:type="dxa"/>
            <w:vMerge w:val="continue"/>
            <w:tcBorders>
              <w:top w:val="nil"/>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b/>
                <w:bCs/>
                <w:color w:val="000000"/>
                <w:sz w:val="22"/>
                <w:szCs w:val="22"/>
              </w:rPr>
            </w:pPr>
          </w:p>
        </w:tc>
        <w:tc>
          <w:tcPr>
            <w:tcW w:w="1286" w:type="dxa"/>
            <w:vMerge w:val="continue"/>
            <w:tcBorders>
              <w:top w:val="nil"/>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b/>
                <w:bCs/>
                <w:color w:val="000000"/>
                <w:sz w:val="22"/>
                <w:szCs w:val="22"/>
              </w:rPr>
            </w:pPr>
          </w:p>
        </w:tc>
        <w:tc>
          <w:tcPr>
            <w:tcW w:w="1425" w:type="dxa"/>
            <w:vMerge w:val="restart"/>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项目支出结转</w:t>
            </w:r>
          </w:p>
        </w:tc>
        <w:tc>
          <w:tcPr>
            <w:tcW w:w="1117" w:type="dxa"/>
            <w:vMerge w:val="restart"/>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项目支出结余</w:t>
            </w:r>
          </w:p>
        </w:tc>
      </w:tr>
      <w:tr>
        <w:tblPrEx>
          <w:tblCellMar>
            <w:top w:w="0" w:type="dxa"/>
            <w:left w:w="108" w:type="dxa"/>
            <w:bottom w:w="0" w:type="dxa"/>
            <w:right w:w="108" w:type="dxa"/>
          </w:tblCellMar>
        </w:tblPrEx>
        <w:trPr>
          <w:trHeight w:val="506" w:hRule="atLeast"/>
        </w:trPr>
        <w:tc>
          <w:tcPr>
            <w:tcW w:w="12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color w:val="000000"/>
                <w:sz w:val="22"/>
                <w:szCs w:val="22"/>
              </w:rPr>
            </w:pPr>
          </w:p>
        </w:tc>
        <w:tc>
          <w:tcPr>
            <w:tcW w:w="2537" w:type="dxa"/>
            <w:vMerge w:val="continue"/>
            <w:tcBorders>
              <w:top w:val="single" w:color="000000" w:sz="4" w:space="0"/>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color w:val="000000"/>
                <w:sz w:val="22"/>
                <w:szCs w:val="22"/>
              </w:rPr>
            </w:pPr>
          </w:p>
        </w:tc>
        <w:tc>
          <w:tcPr>
            <w:tcW w:w="1113" w:type="dxa"/>
            <w:vMerge w:val="continue"/>
            <w:tcBorders>
              <w:top w:val="nil"/>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color w:val="000000"/>
                <w:sz w:val="22"/>
                <w:szCs w:val="22"/>
              </w:rPr>
            </w:pPr>
          </w:p>
        </w:tc>
        <w:tc>
          <w:tcPr>
            <w:tcW w:w="1087" w:type="dxa"/>
            <w:vMerge w:val="continue"/>
            <w:tcBorders>
              <w:top w:val="nil"/>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color w:val="000000"/>
                <w:sz w:val="22"/>
                <w:szCs w:val="22"/>
              </w:rPr>
            </w:pPr>
          </w:p>
        </w:tc>
        <w:tc>
          <w:tcPr>
            <w:tcW w:w="993" w:type="dxa"/>
            <w:vMerge w:val="continue"/>
            <w:tcBorders>
              <w:top w:val="nil"/>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color w:val="000000"/>
                <w:sz w:val="22"/>
                <w:szCs w:val="22"/>
              </w:rPr>
            </w:pPr>
          </w:p>
        </w:tc>
        <w:tc>
          <w:tcPr>
            <w:tcW w:w="1721" w:type="dxa"/>
            <w:vMerge w:val="continue"/>
            <w:tcBorders>
              <w:top w:val="nil"/>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color w:val="000000"/>
                <w:sz w:val="22"/>
                <w:szCs w:val="22"/>
              </w:rPr>
            </w:pPr>
          </w:p>
        </w:tc>
        <w:tc>
          <w:tcPr>
            <w:tcW w:w="1607" w:type="dxa"/>
            <w:vMerge w:val="continue"/>
            <w:tcBorders>
              <w:top w:val="nil"/>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color w:val="000000"/>
                <w:sz w:val="22"/>
                <w:szCs w:val="22"/>
              </w:rPr>
            </w:pPr>
          </w:p>
        </w:tc>
        <w:tc>
          <w:tcPr>
            <w:tcW w:w="1626" w:type="dxa"/>
            <w:vMerge w:val="continue"/>
            <w:tcBorders>
              <w:top w:val="nil"/>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color w:val="000000"/>
                <w:sz w:val="22"/>
                <w:szCs w:val="22"/>
              </w:rPr>
            </w:pPr>
          </w:p>
        </w:tc>
        <w:tc>
          <w:tcPr>
            <w:tcW w:w="1689" w:type="dxa"/>
            <w:vMerge w:val="continue"/>
            <w:tcBorders>
              <w:top w:val="nil"/>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color w:val="000000"/>
                <w:sz w:val="22"/>
                <w:szCs w:val="22"/>
              </w:rPr>
            </w:pPr>
          </w:p>
        </w:tc>
        <w:tc>
          <w:tcPr>
            <w:tcW w:w="1639" w:type="dxa"/>
            <w:vMerge w:val="continue"/>
            <w:tcBorders>
              <w:top w:val="nil"/>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color w:val="000000"/>
                <w:sz w:val="22"/>
                <w:szCs w:val="22"/>
              </w:rPr>
            </w:pPr>
          </w:p>
        </w:tc>
        <w:tc>
          <w:tcPr>
            <w:tcW w:w="1673" w:type="dxa"/>
            <w:vMerge w:val="continue"/>
            <w:tcBorders>
              <w:top w:val="nil"/>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color w:val="000000"/>
                <w:sz w:val="22"/>
                <w:szCs w:val="22"/>
              </w:rPr>
            </w:pPr>
          </w:p>
        </w:tc>
        <w:tc>
          <w:tcPr>
            <w:tcW w:w="1527" w:type="dxa"/>
            <w:vMerge w:val="continue"/>
            <w:tcBorders>
              <w:top w:val="nil"/>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color w:val="000000"/>
                <w:sz w:val="22"/>
                <w:szCs w:val="22"/>
              </w:rPr>
            </w:pPr>
          </w:p>
        </w:tc>
        <w:tc>
          <w:tcPr>
            <w:tcW w:w="1286" w:type="dxa"/>
            <w:vMerge w:val="continue"/>
            <w:tcBorders>
              <w:top w:val="nil"/>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color w:val="000000"/>
                <w:sz w:val="22"/>
                <w:szCs w:val="22"/>
              </w:rPr>
            </w:pPr>
          </w:p>
        </w:tc>
        <w:tc>
          <w:tcPr>
            <w:tcW w:w="1425" w:type="dxa"/>
            <w:vMerge w:val="continue"/>
            <w:tcBorders>
              <w:top w:val="nil"/>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color w:val="000000"/>
                <w:sz w:val="22"/>
                <w:szCs w:val="22"/>
              </w:rPr>
            </w:pPr>
          </w:p>
        </w:tc>
        <w:tc>
          <w:tcPr>
            <w:tcW w:w="1117" w:type="dxa"/>
            <w:vMerge w:val="continue"/>
            <w:tcBorders>
              <w:top w:val="nil"/>
              <w:left w:val="nil"/>
              <w:bottom w:val="single" w:color="000000" w:sz="4" w:space="0"/>
              <w:right w:val="single" w:color="000000" w:sz="4" w:space="0"/>
            </w:tcBorders>
            <w:shd w:val="clear" w:color="auto" w:fill="auto"/>
            <w:vAlign w:val="center"/>
          </w:tcPr>
          <w:p>
            <w:pPr>
              <w:spacing w:line="400" w:lineRule="exact"/>
              <w:jc w:val="center"/>
              <w:rPr>
                <w:rFonts w:hint="default" w:ascii="Times New Roman" w:hAnsi="Times New Roman" w:cs="Times New Roman"/>
                <w:color w:val="000000"/>
                <w:sz w:val="22"/>
                <w:szCs w:val="22"/>
              </w:rPr>
            </w:pPr>
          </w:p>
        </w:tc>
      </w:tr>
      <w:tr>
        <w:tblPrEx>
          <w:tblCellMar>
            <w:top w:w="0" w:type="dxa"/>
            <w:left w:w="108" w:type="dxa"/>
            <w:bottom w:w="0" w:type="dxa"/>
            <w:right w:w="108" w:type="dxa"/>
          </w:tblCellMar>
        </w:tblPrEx>
        <w:trPr>
          <w:trHeight w:val="552" w:hRule="atLeast"/>
        </w:trPr>
        <w:tc>
          <w:tcPr>
            <w:tcW w:w="350" w:type="dxa"/>
            <w:vMerge w:val="restart"/>
            <w:tcBorders>
              <w:top w:val="nil"/>
              <w:left w:val="single" w:color="000000" w:sz="4" w:space="0"/>
              <w:bottom w:val="single" w:color="000000" w:sz="4" w:space="0"/>
              <w:right w:val="single" w:color="000000" w:sz="4" w:space="0"/>
            </w:tcBorders>
            <w:shd w:val="clear" w:color="auto" w:fill="auto"/>
            <w:vAlign w:val="center"/>
          </w:tcPr>
          <w:p>
            <w:pPr>
              <w:spacing w:line="24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类</w:t>
            </w:r>
          </w:p>
        </w:tc>
        <w:tc>
          <w:tcPr>
            <w:tcW w:w="437" w:type="dxa"/>
            <w:vMerge w:val="restart"/>
            <w:tcBorders>
              <w:top w:val="nil"/>
              <w:left w:val="nil"/>
              <w:bottom w:val="single" w:color="000000" w:sz="4" w:space="0"/>
              <w:right w:val="single" w:color="000000" w:sz="4" w:space="0"/>
            </w:tcBorders>
            <w:shd w:val="clear" w:color="auto" w:fill="auto"/>
            <w:vAlign w:val="center"/>
          </w:tcPr>
          <w:p>
            <w:pPr>
              <w:spacing w:line="24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款</w:t>
            </w:r>
          </w:p>
        </w:tc>
        <w:tc>
          <w:tcPr>
            <w:tcW w:w="413" w:type="dxa"/>
            <w:vMerge w:val="restart"/>
            <w:tcBorders>
              <w:top w:val="nil"/>
              <w:left w:val="nil"/>
              <w:bottom w:val="single" w:color="000000" w:sz="4" w:space="0"/>
              <w:right w:val="single" w:color="000000" w:sz="4" w:space="0"/>
            </w:tcBorders>
            <w:shd w:val="clear" w:color="auto" w:fill="auto"/>
            <w:vAlign w:val="center"/>
          </w:tcPr>
          <w:p>
            <w:pPr>
              <w:spacing w:line="24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项</w:t>
            </w:r>
          </w:p>
        </w:tc>
        <w:tc>
          <w:tcPr>
            <w:tcW w:w="2537" w:type="dxa"/>
            <w:tcBorders>
              <w:top w:val="nil"/>
              <w:left w:val="nil"/>
              <w:bottom w:val="single" w:color="000000" w:sz="4" w:space="0"/>
              <w:right w:val="single" w:color="000000" w:sz="4" w:space="0"/>
            </w:tcBorders>
            <w:shd w:val="clear" w:color="auto" w:fill="auto"/>
            <w:vAlign w:val="center"/>
          </w:tcPr>
          <w:p>
            <w:pPr>
              <w:spacing w:line="24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栏次</w:t>
            </w:r>
          </w:p>
        </w:tc>
        <w:tc>
          <w:tcPr>
            <w:tcW w:w="1113" w:type="dxa"/>
            <w:tcBorders>
              <w:top w:val="nil"/>
              <w:left w:val="nil"/>
              <w:bottom w:val="single" w:color="000000" w:sz="4" w:space="0"/>
              <w:right w:val="single" w:color="000000" w:sz="4" w:space="0"/>
            </w:tcBorders>
            <w:shd w:val="clear" w:color="auto" w:fill="auto"/>
            <w:vAlign w:val="center"/>
          </w:tcPr>
          <w:p>
            <w:pPr>
              <w:spacing w:line="24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1</w:t>
            </w:r>
          </w:p>
        </w:tc>
        <w:tc>
          <w:tcPr>
            <w:tcW w:w="1087" w:type="dxa"/>
            <w:tcBorders>
              <w:top w:val="nil"/>
              <w:left w:val="nil"/>
              <w:bottom w:val="single" w:color="000000" w:sz="4" w:space="0"/>
              <w:right w:val="single" w:color="000000" w:sz="4" w:space="0"/>
            </w:tcBorders>
            <w:shd w:val="clear" w:color="auto" w:fill="auto"/>
            <w:vAlign w:val="center"/>
          </w:tcPr>
          <w:p>
            <w:pPr>
              <w:spacing w:line="24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2</w:t>
            </w:r>
          </w:p>
        </w:tc>
        <w:tc>
          <w:tcPr>
            <w:tcW w:w="993" w:type="dxa"/>
            <w:tcBorders>
              <w:top w:val="nil"/>
              <w:left w:val="nil"/>
              <w:bottom w:val="single" w:color="000000" w:sz="4" w:space="0"/>
              <w:right w:val="single" w:color="000000" w:sz="4" w:space="0"/>
            </w:tcBorders>
            <w:shd w:val="clear" w:color="auto" w:fill="auto"/>
            <w:vAlign w:val="center"/>
          </w:tcPr>
          <w:p>
            <w:pPr>
              <w:spacing w:line="24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3</w:t>
            </w:r>
          </w:p>
        </w:tc>
        <w:tc>
          <w:tcPr>
            <w:tcW w:w="1721" w:type="dxa"/>
            <w:tcBorders>
              <w:top w:val="nil"/>
              <w:left w:val="nil"/>
              <w:bottom w:val="single" w:color="000000" w:sz="4" w:space="0"/>
              <w:right w:val="single" w:color="000000" w:sz="4" w:space="0"/>
            </w:tcBorders>
            <w:shd w:val="clear" w:color="auto" w:fill="auto"/>
            <w:vAlign w:val="center"/>
          </w:tcPr>
          <w:p>
            <w:pPr>
              <w:spacing w:line="24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4</w:t>
            </w:r>
          </w:p>
        </w:tc>
        <w:tc>
          <w:tcPr>
            <w:tcW w:w="1607" w:type="dxa"/>
            <w:tcBorders>
              <w:top w:val="nil"/>
              <w:left w:val="nil"/>
              <w:bottom w:val="single" w:color="000000" w:sz="4" w:space="0"/>
              <w:right w:val="single" w:color="000000" w:sz="4" w:space="0"/>
            </w:tcBorders>
            <w:shd w:val="clear" w:color="auto" w:fill="auto"/>
            <w:vAlign w:val="center"/>
          </w:tcPr>
          <w:p>
            <w:pPr>
              <w:spacing w:line="24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5</w:t>
            </w:r>
          </w:p>
        </w:tc>
        <w:tc>
          <w:tcPr>
            <w:tcW w:w="1626" w:type="dxa"/>
            <w:tcBorders>
              <w:top w:val="nil"/>
              <w:left w:val="nil"/>
              <w:bottom w:val="single" w:color="000000" w:sz="4" w:space="0"/>
              <w:right w:val="single" w:color="000000" w:sz="4" w:space="0"/>
            </w:tcBorders>
            <w:shd w:val="clear" w:color="auto" w:fill="auto"/>
            <w:vAlign w:val="center"/>
          </w:tcPr>
          <w:p>
            <w:pPr>
              <w:spacing w:line="24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6</w:t>
            </w:r>
          </w:p>
        </w:tc>
        <w:tc>
          <w:tcPr>
            <w:tcW w:w="1689" w:type="dxa"/>
            <w:tcBorders>
              <w:top w:val="nil"/>
              <w:left w:val="nil"/>
              <w:bottom w:val="single" w:color="000000" w:sz="4" w:space="0"/>
              <w:right w:val="single" w:color="000000" w:sz="4" w:space="0"/>
            </w:tcBorders>
            <w:shd w:val="clear" w:color="auto" w:fill="auto"/>
            <w:vAlign w:val="center"/>
          </w:tcPr>
          <w:p>
            <w:pPr>
              <w:spacing w:line="24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7</w:t>
            </w:r>
          </w:p>
        </w:tc>
        <w:tc>
          <w:tcPr>
            <w:tcW w:w="1639" w:type="dxa"/>
            <w:tcBorders>
              <w:top w:val="nil"/>
              <w:left w:val="nil"/>
              <w:bottom w:val="single" w:color="000000" w:sz="4" w:space="0"/>
              <w:right w:val="single" w:color="000000" w:sz="4" w:space="0"/>
            </w:tcBorders>
            <w:shd w:val="clear" w:color="auto" w:fill="auto"/>
            <w:vAlign w:val="center"/>
          </w:tcPr>
          <w:p>
            <w:pPr>
              <w:spacing w:line="24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8</w:t>
            </w:r>
          </w:p>
        </w:tc>
        <w:tc>
          <w:tcPr>
            <w:tcW w:w="1673" w:type="dxa"/>
            <w:tcBorders>
              <w:top w:val="nil"/>
              <w:left w:val="nil"/>
              <w:bottom w:val="single" w:color="000000" w:sz="4" w:space="0"/>
              <w:right w:val="single" w:color="000000" w:sz="4" w:space="0"/>
            </w:tcBorders>
            <w:shd w:val="clear" w:color="auto" w:fill="auto"/>
            <w:vAlign w:val="center"/>
          </w:tcPr>
          <w:p>
            <w:pPr>
              <w:spacing w:line="24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9</w:t>
            </w:r>
          </w:p>
        </w:tc>
        <w:tc>
          <w:tcPr>
            <w:tcW w:w="1527" w:type="dxa"/>
            <w:tcBorders>
              <w:top w:val="nil"/>
              <w:left w:val="nil"/>
              <w:bottom w:val="single" w:color="000000" w:sz="4" w:space="0"/>
              <w:right w:val="single" w:color="000000" w:sz="4" w:space="0"/>
            </w:tcBorders>
            <w:shd w:val="clear" w:color="auto" w:fill="auto"/>
            <w:vAlign w:val="center"/>
          </w:tcPr>
          <w:p>
            <w:pPr>
              <w:spacing w:line="24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10</w:t>
            </w:r>
          </w:p>
        </w:tc>
        <w:tc>
          <w:tcPr>
            <w:tcW w:w="1286" w:type="dxa"/>
            <w:tcBorders>
              <w:top w:val="nil"/>
              <w:left w:val="nil"/>
              <w:bottom w:val="single" w:color="000000" w:sz="4" w:space="0"/>
              <w:right w:val="single" w:color="000000" w:sz="4" w:space="0"/>
            </w:tcBorders>
            <w:shd w:val="clear" w:color="auto" w:fill="auto"/>
            <w:vAlign w:val="center"/>
          </w:tcPr>
          <w:p>
            <w:pPr>
              <w:spacing w:line="24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11</w:t>
            </w:r>
          </w:p>
        </w:tc>
        <w:tc>
          <w:tcPr>
            <w:tcW w:w="1425" w:type="dxa"/>
            <w:tcBorders>
              <w:top w:val="nil"/>
              <w:left w:val="nil"/>
              <w:bottom w:val="single" w:color="000000" w:sz="4" w:space="0"/>
              <w:right w:val="single" w:color="000000" w:sz="4" w:space="0"/>
            </w:tcBorders>
            <w:shd w:val="clear" w:color="auto" w:fill="auto"/>
            <w:vAlign w:val="center"/>
          </w:tcPr>
          <w:p>
            <w:pPr>
              <w:spacing w:line="24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12</w:t>
            </w:r>
          </w:p>
        </w:tc>
        <w:tc>
          <w:tcPr>
            <w:tcW w:w="1117" w:type="dxa"/>
            <w:tcBorders>
              <w:top w:val="nil"/>
              <w:left w:val="nil"/>
              <w:bottom w:val="single" w:color="000000" w:sz="4" w:space="0"/>
              <w:right w:val="single" w:color="000000" w:sz="4" w:space="0"/>
            </w:tcBorders>
            <w:shd w:val="clear" w:color="auto" w:fill="auto"/>
            <w:vAlign w:val="center"/>
          </w:tcPr>
          <w:p>
            <w:pPr>
              <w:spacing w:line="24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13</w:t>
            </w:r>
          </w:p>
        </w:tc>
      </w:tr>
      <w:tr>
        <w:tblPrEx>
          <w:tblCellMar>
            <w:top w:w="0" w:type="dxa"/>
            <w:left w:w="108" w:type="dxa"/>
            <w:bottom w:w="0" w:type="dxa"/>
            <w:right w:w="108" w:type="dxa"/>
          </w:tblCellMar>
        </w:tblPrEx>
        <w:trPr>
          <w:trHeight w:val="508" w:hRule="atLeast"/>
        </w:trPr>
        <w:tc>
          <w:tcPr>
            <w:tcW w:w="350" w:type="dxa"/>
            <w:vMerge w:val="continue"/>
            <w:tcBorders>
              <w:top w:val="nil"/>
              <w:left w:val="single" w:color="000000" w:sz="4" w:space="0"/>
              <w:bottom w:val="single" w:color="000000" w:sz="4" w:space="0"/>
              <w:right w:val="single" w:color="000000" w:sz="4" w:space="0"/>
            </w:tcBorders>
            <w:shd w:val="clear" w:color="auto" w:fill="auto"/>
            <w:vAlign w:val="center"/>
          </w:tcPr>
          <w:p>
            <w:pPr>
              <w:spacing w:line="240" w:lineRule="exact"/>
              <w:jc w:val="center"/>
              <w:rPr>
                <w:rFonts w:hint="default" w:ascii="Times New Roman" w:hAnsi="Times New Roman" w:cs="Times New Roman"/>
                <w:b/>
                <w:bCs/>
                <w:color w:val="000000"/>
                <w:sz w:val="22"/>
                <w:szCs w:val="22"/>
              </w:rPr>
            </w:pPr>
          </w:p>
        </w:tc>
        <w:tc>
          <w:tcPr>
            <w:tcW w:w="437" w:type="dxa"/>
            <w:vMerge w:val="continue"/>
            <w:tcBorders>
              <w:top w:val="nil"/>
              <w:left w:val="nil"/>
              <w:bottom w:val="single" w:color="000000" w:sz="4" w:space="0"/>
              <w:right w:val="single" w:color="000000" w:sz="4" w:space="0"/>
            </w:tcBorders>
            <w:shd w:val="clear" w:color="auto" w:fill="auto"/>
            <w:vAlign w:val="center"/>
          </w:tcPr>
          <w:p>
            <w:pPr>
              <w:spacing w:line="240" w:lineRule="exact"/>
              <w:jc w:val="center"/>
              <w:rPr>
                <w:rFonts w:hint="default" w:ascii="Times New Roman" w:hAnsi="Times New Roman" w:cs="Times New Roman"/>
                <w:b/>
                <w:bCs/>
                <w:color w:val="000000"/>
                <w:sz w:val="22"/>
                <w:szCs w:val="22"/>
              </w:rPr>
            </w:pPr>
          </w:p>
        </w:tc>
        <w:tc>
          <w:tcPr>
            <w:tcW w:w="413" w:type="dxa"/>
            <w:vMerge w:val="continue"/>
            <w:tcBorders>
              <w:top w:val="nil"/>
              <w:left w:val="nil"/>
              <w:bottom w:val="single" w:color="000000" w:sz="4" w:space="0"/>
              <w:right w:val="single" w:color="000000" w:sz="4" w:space="0"/>
            </w:tcBorders>
            <w:shd w:val="clear" w:color="auto" w:fill="auto"/>
            <w:vAlign w:val="center"/>
          </w:tcPr>
          <w:p>
            <w:pPr>
              <w:spacing w:line="240" w:lineRule="exact"/>
              <w:jc w:val="center"/>
              <w:rPr>
                <w:rFonts w:hint="default" w:ascii="Times New Roman" w:hAnsi="Times New Roman" w:cs="Times New Roman"/>
                <w:b/>
                <w:bCs/>
                <w:color w:val="000000"/>
                <w:sz w:val="22"/>
                <w:szCs w:val="22"/>
              </w:rPr>
            </w:pPr>
          </w:p>
        </w:tc>
        <w:tc>
          <w:tcPr>
            <w:tcW w:w="2537" w:type="dxa"/>
            <w:tcBorders>
              <w:top w:val="nil"/>
              <w:left w:val="nil"/>
              <w:bottom w:val="single" w:color="000000" w:sz="4" w:space="0"/>
              <w:right w:val="single" w:color="000000" w:sz="4" w:space="0"/>
            </w:tcBorders>
            <w:shd w:val="clear" w:color="auto" w:fill="auto"/>
            <w:vAlign w:val="center"/>
          </w:tcPr>
          <w:p>
            <w:pPr>
              <w:spacing w:line="240" w:lineRule="exact"/>
              <w:jc w:val="center"/>
              <w:textAlignment w:val="center"/>
              <w:rPr>
                <w:rFonts w:hint="default" w:ascii="Times New Roman" w:hAnsi="Times New Roman" w:cs="Times New Roman"/>
                <w:b/>
                <w:bCs/>
                <w:color w:val="000000"/>
                <w:sz w:val="20"/>
                <w:szCs w:val="20"/>
              </w:rPr>
            </w:pPr>
            <w:r>
              <w:rPr>
                <w:rFonts w:hint="default" w:ascii="Times New Roman" w:hAnsi="Times New Roman" w:cs="Times New Roman"/>
                <w:b/>
                <w:bCs/>
                <w:color w:val="000000"/>
                <w:sz w:val="22"/>
                <w:szCs w:val="22"/>
              </w:rPr>
              <w:t>合计</w:t>
            </w:r>
          </w:p>
        </w:tc>
        <w:tc>
          <w:tcPr>
            <w:tcW w:w="1113" w:type="dxa"/>
            <w:tcBorders>
              <w:top w:val="nil"/>
              <w:left w:val="nil"/>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b/>
                <w:bCs/>
                <w:color w:val="000000"/>
                <w:sz w:val="20"/>
                <w:szCs w:val="20"/>
              </w:rPr>
            </w:pPr>
            <w:r>
              <w:rPr>
                <w:rFonts w:hint="default" w:ascii="Times New Roman" w:hAnsi="Times New Roman" w:cs="Times New Roman"/>
                <w:b/>
                <w:bCs/>
                <w:color w:val="000000"/>
                <w:sz w:val="20"/>
                <w:szCs w:val="20"/>
              </w:rPr>
              <w:t xml:space="preserve">0.00 </w:t>
            </w:r>
          </w:p>
        </w:tc>
        <w:tc>
          <w:tcPr>
            <w:tcW w:w="1087" w:type="dxa"/>
            <w:tcBorders>
              <w:top w:val="nil"/>
              <w:left w:val="nil"/>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b/>
                <w:bCs/>
                <w:color w:val="000000"/>
                <w:sz w:val="20"/>
                <w:szCs w:val="20"/>
              </w:rPr>
            </w:pPr>
            <w:r>
              <w:rPr>
                <w:rFonts w:hint="default" w:ascii="Times New Roman" w:hAnsi="Times New Roman" w:cs="Times New Roman"/>
                <w:b/>
                <w:bCs/>
                <w:color w:val="000000"/>
                <w:sz w:val="20"/>
                <w:szCs w:val="20"/>
              </w:rPr>
              <w:t>0.00</w:t>
            </w:r>
          </w:p>
        </w:tc>
        <w:tc>
          <w:tcPr>
            <w:tcW w:w="993" w:type="dxa"/>
            <w:tcBorders>
              <w:top w:val="nil"/>
              <w:left w:val="nil"/>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b/>
                <w:bCs/>
                <w:color w:val="000000"/>
                <w:sz w:val="20"/>
                <w:szCs w:val="20"/>
              </w:rPr>
            </w:pPr>
            <w:r>
              <w:rPr>
                <w:rFonts w:hint="default" w:ascii="Times New Roman" w:hAnsi="Times New Roman" w:cs="Times New Roman"/>
                <w:b/>
                <w:bCs/>
                <w:color w:val="000000"/>
                <w:sz w:val="20"/>
                <w:szCs w:val="20"/>
              </w:rPr>
              <w:t xml:space="preserve">0.00 </w:t>
            </w:r>
          </w:p>
        </w:tc>
        <w:tc>
          <w:tcPr>
            <w:tcW w:w="1721" w:type="dxa"/>
            <w:tcBorders>
              <w:top w:val="nil"/>
              <w:left w:val="nil"/>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b/>
                <w:bCs/>
                <w:color w:val="000000"/>
                <w:sz w:val="20"/>
                <w:szCs w:val="20"/>
              </w:rPr>
            </w:pPr>
            <w:r>
              <w:rPr>
                <w:rFonts w:hint="default" w:ascii="Times New Roman" w:hAnsi="Times New Roman" w:cs="Times New Roman"/>
                <w:b/>
                <w:bCs/>
                <w:color w:val="000000"/>
                <w:sz w:val="20"/>
                <w:szCs w:val="20"/>
              </w:rPr>
              <w:t xml:space="preserve">4.00 </w:t>
            </w:r>
          </w:p>
        </w:tc>
        <w:tc>
          <w:tcPr>
            <w:tcW w:w="1607" w:type="dxa"/>
            <w:tcBorders>
              <w:top w:val="nil"/>
              <w:left w:val="nil"/>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b/>
                <w:bCs/>
                <w:color w:val="000000"/>
                <w:sz w:val="20"/>
                <w:szCs w:val="20"/>
              </w:rPr>
            </w:pPr>
            <w:r>
              <w:rPr>
                <w:rFonts w:hint="default" w:ascii="Times New Roman" w:hAnsi="Times New Roman" w:cs="Times New Roman"/>
                <w:b/>
                <w:bCs/>
                <w:color w:val="000000"/>
                <w:sz w:val="20"/>
                <w:szCs w:val="20"/>
              </w:rPr>
              <w:t xml:space="preserve">0.00 </w:t>
            </w:r>
          </w:p>
        </w:tc>
        <w:tc>
          <w:tcPr>
            <w:tcW w:w="1626" w:type="dxa"/>
            <w:tcBorders>
              <w:top w:val="nil"/>
              <w:left w:val="nil"/>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b/>
                <w:bCs/>
                <w:color w:val="000000"/>
                <w:sz w:val="20"/>
                <w:szCs w:val="20"/>
              </w:rPr>
            </w:pPr>
            <w:r>
              <w:rPr>
                <w:rFonts w:hint="default" w:ascii="Times New Roman" w:hAnsi="Times New Roman" w:cs="Times New Roman"/>
                <w:b/>
                <w:bCs/>
                <w:color w:val="000000"/>
                <w:sz w:val="20"/>
                <w:szCs w:val="20"/>
              </w:rPr>
              <w:t xml:space="preserve">4.00 </w:t>
            </w:r>
          </w:p>
        </w:tc>
        <w:tc>
          <w:tcPr>
            <w:tcW w:w="1689" w:type="dxa"/>
            <w:tcBorders>
              <w:top w:val="nil"/>
              <w:left w:val="nil"/>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b/>
                <w:bCs/>
                <w:color w:val="000000"/>
                <w:sz w:val="20"/>
                <w:szCs w:val="20"/>
              </w:rPr>
            </w:pPr>
            <w:r>
              <w:rPr>
                <w:rFonts w:hint="default" w:ascii="Times New Roman" w:hAnsi="Times New Roman" w:cs="Times New Roman"/>
                <w:b/>
                <w:bCs/>
                <w:color w:val="000000"/>
                <w:sz w:val="20"/>
                <w:szCs w:val="20"/>
              </w:rPr>
              <w:t xml:space="preserve">4.00 </w:t>
            </w:r>
          </w:p>
        </w:tc>
        <w:tc>
          <w:tcPr>
            <w:tcW w:w="1639" w:type="dxa"/>
            <w:tcBorders>
              <w:top w:val="nil"/>
              <w:left w:val="nil"/>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b/>
                <w:bCs/>
                <w:color w:val="000000"/>
                <w:sz w:val="20"/>
                <w:szCs w:val="20"/>
              </w:rPr>
            </w:pPr>
            <w:r>
              <w:rPr>
                <w:rFonts w:hint="default" w:ascii="Times New Roman" w:hAnsi="Times New Roman" w:cs="Times New Roman"/>
                <w:b/>
                <w:bCs/>
                <w:color w:val="000000"/>
                <w:sz w:val="20"/>
                <w:szCs w:val="20"/>
              </w:rPr>
              <w:t xml:space="preserve">0.00 </w:t>
            </w:r>
          </w:p>
        </w:tc>
        <w:tc>
          <w:tcPr>
            <w:tcW w:w="1673" w:type="dxa"/>
            <w:tcBorders>
              <w:top w:val="nil"/>
              <w:left w:val="nil"/>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b/>
                <w:bCs/>
                <w:color w:val="000000"/>
                <w:sz w:val="20"/>
                <w:szCs w:val="20"/>
              </w:rPr>
            </w:pPr>
            <w:r>
              <w:rPr>
                <w:rFonts w:hint="default" w:ascii="Times New Roman" w:hAnsi="Times New Roman" w:cs="Times New Roman"/>
                <w:b/>
                <w:bCs/>
                <w:color w:val="000000"/>
                <w:sz w:val="20"/>
                <w:szCs w:val="20"/>
              </w:rPr>
              <w:t xml:space="preserve">4.00 </w:t>
            </w:r>
          </w:p>
        </w:tc>
        <w:tc>
          <w:tcPr>
            <w:tcW w:w="1527" w:type="dxa"/>
            <w:tcBorders>
              <w:top w:val="nil"/>
              <w:left w:val="nil"/>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b/>
                <w:bCs/>
                <w:color w:val="000000"/>
                <w:sz w:val="20"/>
                <w:szCs w:val="20"/>
              </w:rPr>
            </w:pPr>
            <w:r>
              <w:rPr>
                <w:rFonts w:hint="default" w:ascii="Times New Roman" w:hAnsi="Times New Roman" w:cs="Times New Roman"/>
                <w:b/>
                <w:bCs/>
                <w:color w:val="000000"/>
                <w:sz w:val="20"/>
                <w:szCs w:val="20"/>
              </w:rPr>
              <w:t xml:space="preserve">0.00 </w:t>
            </w:r>
          </w:p>
        </w:tc>
        <w:tc>
          <w:tcPr>
            <w:tcW w:w="1286" w:type="dxa"/>
            <w:tcBorders>
              <w:top w:val="nil"/>
              <w:left w:val="nil"/>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b/>
                <w:bCs/>
                <w:color w:val="000000"/>
                <w:sz w:val="20"/>
                <w:szCs w:val="20"/>
              </w:rPr>
            </w:pPr>
            <w:r>
              <w:rPr>
                <w:rFonts w:hint="default" w:ascii="Times New Roman" w:hAnsi="Times New Roman" w:cs="Times New Roman"/>
                <w:b/>
                <w:bCs/>
                <w:color w:val="000000"/>
                <w:sz w:val="20"/>
                <w:szCs w:val="20"/>
              </w:rPr>
              <w:t xml:space="preserve">0.00  </w:t>
            </w:r>
          </w:p>
        </w:tc>
        <w:tc>
          <w:tcPr>
            <w:tcW w:w="1425" w:type="dxa"/>
            <w:tcBorders>
              <w:top w:val="nil"/>
              <w:left w:val="nil"/>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b/>
                <w:bCs/>
                <w:color w:val="000000"/>
                <w:sz w:val="20"/>
                <w:szCs w:val="20"/>
              </w:rPr>
            </w:pPr>
            <w:r>
              <w:rPr>
                <w:rFonts w:hint="default" w:ascii="Times New Roman" w:hAnsi="Times New Roman" w:cs="Times New Roman"/>
                <w:b/>
                <w:bCs/>
                <w:color w:val="000000"/>
                <w:sz w:val="20"/>
                <w:szCs w:val="20"/>
              </w:rPr>
              <w:t xml:space="preserve">0.00 </w:t>
            </w:r>
          </w:p>
        </w:tc>
        <w:tc>
          <w:tcPr>
            <w:tcW w:w="1117" w:type="dxa"/>
            <w:tcBorders>
              <w:top w:val="nil"/>
              <w:left w:val="nil"/>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b/>
                <w:bCs/>
                <w:color w:val="000000"/>
                <w:sz w:val="20"/>
                <w:szCs w:val="20"/>
              </w:rPr>
            </w:pPr>
            <w:r>
              <w:rPr>
                <w:rFonts w:hint="default" w:ascii="Times New Roman" w:hAnsi="Times New Roman" w:cs="Times New Roman"/>
                <w:b/>
                <w:bCs/>
                <w:color w:val="000000"/>
                <w:sz w:val="20"/>
                <w:szCs w:val="20"/>
              </w:rPr>
              <w:t xml:space="preserve">0.00 </w:t>
            </w:r>
          </w:p>
        </w:tc>
      </w:tr>
      <w:tr>
        <w:tblPrEx>
          <w:tblCellMar>
            <w:top w:w="0" w:type="dxa"/>
            <w:left w:w="108" w:type="dxa"/>
            <w:bottom w:w="0" w:type="dxa"/>
            <w:right w:w="108" w:type="dxa"/>
          </w:tblCellMar>
        </w:tblPrEx>
        <w:trPr>
          <w:trHeight w:val="527" w:hRule="atLeast"/>
        </w:trPr>
        <w:tc>
          <w:tcPr>
            <w:tcW w:w="12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2"/>
                <w:szCs w:val="22"/>
              </w:rPr>
              <w:t>229</w:t>
            </w:r>
          </w:p>
        </w:tc>
        <w:tc>
          <w:tcPr>
            <w:tcW w:w="2537"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2"/>
                <w:szCs w:val="22"/>
              </w:rPr>
              <w:t>其他支出</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0.00 </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0.00 </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0.00 </w:t>
            </w: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4.00 </w:t>
            </w:r>
          </w:p>
        </w:tc>
        <w:tc>
          <w:tcPr>
            <w:tcW w:w="160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0.00 </w:t>
            </w:r>
          </w:p>
        </w:tc>
        <w:tc>
          <w:tcPr>
            <w:tcW w:w="162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4.00 </w:t>
            </w:r>
          </w:p>
        </w:tc>
        <w:tc>
          <w:tcPr>
            <w:tcW w:w="168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4.00 </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0.00 </w:t>
            </w:r>
          </w:p>
        </w:tc>
        <w:tc>
          <w:tcPr>
            <w:tcW w:w="167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4.00 </w:t>
            </w:r>
          </w:p>
        </w:tc>
        <w:tc>
          <w:tcPr>
            <w:tcW w:w="152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0.00 </w:t>
            </w:r>
          </w:p>
        </w:tc>
        <w:tc>
          <w:tcPr>
            <w:tcW w:w="128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0.00 </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0.00 </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0.00 </w:t>
            </w:r>
          </w:p>
        </w:tc>
      </w:tr>
      <w:tr>
        <w:tblPrEx>
          <w:tblCellMar>
            <w:top w:w="0" w:type="dxa"/>
            <w:left w:w="108" w:type="dxa"/>
            <w:bottom w:w="0" w:type="dxa"/>
            <w:right w:w="108" w:type="dxa"/>
          </w:tblCellMar>
        </w:tblPrEx>
        <w:trPr>
          <w:trHeight w:val="527" w:hRule="atLeast"/>
        </w:trPr>
        <w:tc>
          <w:tcPr>
            <w:tcW w:w="12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2"/>
                <w:szCs w:val="22"/>
              </w:rPr>
              <w:t>22960</w:t>
            </w:r>
          </w:p>
        </w:tc>
        <w:tc>
          <w:tcPr>
            <w:tcW w:w="2537"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2"/>
                <w:szCs w:val="22"/>
              </w:rPr>
              <w:t>彩票公益金安排的支出</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4.00</w:t>
            </w:r>
          </w:p>
        </w:tc>
        <w:tc>
          <w:tcPr>
            <w:tcW w:w="160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62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4.00</w:t>
            </w:r>
          </w:p>
        </w:tc>
        <w:tc>
          <w:tcPr>
            <w:tcW w:w="168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4.00</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67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4.00</w:t>
            </w:r>
          </w:p>
        </w:tc>
        <w:tc>
          <w:tcPr>
            <w:tcW w:w="152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28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r>
      <w:tr>
        <w:tblPrEx>
          <w:tblCellMar>
            <w:top w:w="0" w:type="dxa"/>
            <w:left w:w="108" w:type="dxa"/>
            <w:bottom w:w="0" w:type="dxa"/>
            <w:right w:w="108" w:type="dxa"/>
          </w:tblCellMar>
        </w:tblPrEx>
        <w:trPr>
          <w:trHeight w:val="527" w:hRule="atLeast"/>
        </w:trPr>
        <w:tc>
          <w:tcPr>
            <w:tcW w:w="12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2296003</w:t>
            </w:r>
          </w:p>
        </w:tc>
        <w:tc>
          <w:tcPr>
            <w:tcW w:w="2537"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2"/>
                <w:szCs w:val="22"/>
              </w:rPr>
              <w:t>用于体育事业的彩票公益金支出</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4.00</w:t>
            </w:r>
          </w:p>
        </w:tc>
        <w:tc>
          <w:tcPr>
            <w:tcW w:w="160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62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4.00</w:t>
            </w:r>
          </w:p>
        </w:tc>
        <w:tc>
          <w:tcPr>
            <w:tcW w:w="168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4.00</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67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4.00</w:t>
            </w:r>
          </w:p>
        </w:tc>
        <w:tc>
          <w:tcPr>
            <w:tcW w:w="152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28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right"/>
              <w:textAlignment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0.00</w:t>
            </w:r>
          </w:p>
        </w:tc>
      </w:tr>
    </w:tbl>
    <w:p>
      <w:pPr>
        <w:rPr>
          <w:rFonts w:hint="default" w:ascii="Times New Roman" w:hAnsi="Times New Roman" w:cs="Times New Roman"/>
          <w:sz w:val="21"/>
          <w:szCs w:val="21"/>
        </w:rPr>
      </w:pPr>
      <w:r>
        <w:rPr>
          <w:rFonts w:hint="default" w:ascii="Times New Roman" w:hAnsi="Times New Roman" w:cs="Times New Roman"/>
          <w:sz w:val="20"/>
          <w:szCs w:val="20"/>
        </w:rPr>
        <w:t>备注：本表反映单位本年度政府性基金预算财政拨款收入支出及结转和结余情况。本单位无政府性基金收支，故本表无数据。</w:t>
      </w:r>
      <w:r>
        <w:rPr>
          <w:rFonts w:hint="default" w:ascii="Times New Roman" w:hAnsi="Times New Roman" w:cs="Times New Roman"/>
          <w:sz w:val="20"/>
          <w:szCs w:val="20"/>
        </w:rPr>
        <w:br w:type="textWrapping"/>
      </w:r>
      <w:r>
        <w:rPr>
          <w:rFonts w:hint="default" w:ascii="Times New Roman" w:hAnsi="Times New Roman" w:cs="Times New Roman"/>
          <w:sz w:val="20"/>
          <w:szCs w:val="20"/>
        </w:rPr>
        <w:br w:type="textWrapping"/>
      </w:r>
    </w:p>
    <w:p>
      <w:pPr>
        <w:rPr>
          <w:rFonts w:hint="default" w:ascii="Times New Roman" w:hAnsi="Times New Roman" w:cs="Times New Roman"/>
          <w:sz w:val="21"/>
          <w:szCs w:val="21"/>
        </w:rPr>
      </w:pPr>
      <w:r>
        <w:rPr>
          <w:rFonts w:hint="default" w:ascii="Times New Roman" w:hAnsi="Times New Roman" w:cs="Times New Roman"/>
          <w:sz w:val="21"/>
          <w:szCs w:val="21"/>
        </w:rPr>
        <w:br w:type="page"/>
      </w:r>
    </w:p>
    <w:tbl>
      <w:tblPr>
        <w:tblStyle w:val="7"/>
        <w:tblW w:w="22139" w:type="dxa"/>
        <w:tblInd w:w="-850" w:type="dxa"/>
        <w:tblLayout w:type="fixed"/>
        <w:tblCellMar>
          <w:top w:w="0" w:type="dxa"/>
          <w:left w:w="108" w:type="dxa"/>
          <w:bottom w:w="0" w:type="dxa"/>
          <w:right w:w="108" w:type="dxa"/>
        </w:tblCellMar>
      </w:tblPr>
      <w:tblGrid>
        <w:gridCol w:w="301"/>
        <w:gridCol w:w="350"/>
        <w:gridCol w:w="350"/>
        <w:gridCol w:w="2664"/>
        <w:gridCol w:w="2437"/>
        <w:gridCol w:w="2063"/>
        <w:gridCol w:w="2186"/>
        <w:gridCol w:w="2482"/>
        <w:gridCol w:w="2400"/>
        <w:gridCol w:w="2307"/>
        <w:gridCol w:w="2287"/>
        <w:gridCol w:w="196"/>
        <w:gridCol w:w="2116"/>
      </w:tblGrid>
      <w:tr>
        <w:tblPrEx>
          <w:tblCellMar>
            <w:top w:w="0" w:type="dxa"/>
            <w:left w:w="108" w:type="dxa"/>
            <w:bottom w:w="0" w:type="dxa"/>
            <w:right w:w="108" w:type="dxa"/>
          </w:tblCellMar>
        </w:tblPrEx>
        <w:trPr>
          <w:trHeight w:val="390" w:hRule="atLeast"/>
        </w:trPr>
        <w:tc>
          <w:tcPr>
            <w:tcW w:w="22139" w:type="dxa"/>
            <w:gridSpan w:val="13"/>
            <w:tcBorders>
              <w:top w:val="nil"/>
              <w:left w:val="nil"/>
              <w:bottom w:val="nil"/>
              <w:right w:val="nil"/>
            </w:tcBorders>
            <w:shd w:val="clear" w:color="auto" w:fill="auto"/>
            <w:vAlign w:val="bottom"/>
          </w:tcPr>
          <w:p>
            <w:pPr>
              <w:jc w:val="center"/>
              <w:textAlignment w:val="bottom"/>
              <w:rPr>
                <w:rFonts w:hint="default" w:ascii="Times New Roman" w:hAnsi="Times New Roman" w:cs="Times New Roman"/>
                <w:color w:val="000000"/>
                <w:sz w:val="30"/>
                <w:szCs w:val="30"/>
              </w:rPr>
            </w:pPr>
            <w:r>
              <w:rPr>
                <w:rFonts w:hint="default" w:ascii="Times New Roman" w:hAnsi="Times New Roman" w:cs="Times New Roman"/>
                <w:b/>
                <w:bCs/>
                <w:color w:val="000000"/>
                <w:sz w:val="30"/>
                <w:szCs w:val="30"/>
              </w:rPr>
              <w:t>国有资本经营预算财政拨款收入支出决算表</w:t>
            </w:r>
          </w:p>
        </w:tc>
      </w:tr>
      <w:tr>
        <w:tblPrEx>
          <w:tblCellMar>
            <w:top w:w="0" w:type="dxa"/>
            <w:left w:w="108" w:type="dxa"/>
            <w:bottom w:w="0" w:type="dxa"/>
            <w:right w:w="108" w:type="dxa"/>
          </w:tblCellMar>
        </w:tblPrEx>
        <w:trPr>
          <w:trHeight w:val="255" w:hRule="atLeast"/>
        </w:trPr>
        <w:tc>
          <w:tcPr>
            <w:tcW w:w="20023" w:type="dxa"/>
            <w:gridSpan w:val="12"/>
            <w:vMerge w:val="restart"/>
            <w:tcBorders>
              <w:top w:val="nil"/>
              <w:left w:val="nil"/>
              <w:right w:val="nil"/>
            </w:tcBorders>
            <w:shd w:val="clear" w:color="auto" w:fill="auto"/>
            <w:vAlign w:val="bottom"/>
          </w:tcPr>
          <w:p>
            <w:pP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单位：</w:t>
            </w:r>
            <w:r>
              <w:rPr>
                <w:rFonts w:hint="default" w:ascii="Times New Roman" w:hAnsi="Times New Roman" w:cs="Times New Roman"/>
                <w:color w:val="000000"/>
                <w:sz w:val="20"/>
              </w:rPr>
              <w:t>重庆市涪陵区同乐镇人民政府</w:t>
            </w:r>
          </w:p>
        </w:tc>
        <w:tc>
          <w:tcPr>
            <w:tcW w:w="2116" w:type="dxa"/>
            <w:tcBorders>
              <w:top w:val="nil"/>
              <w:left w:val="nil"/>
              <w:bottom w:val="nil"/>
              <w:right w:val="nil"/>
            </w:tcBorders>
            <w:shd w:val="clear" w:color="auto" w:fill="auto"/>
            <w:vAlign w:val="bottom"/>
          </w:tcPr>
          <w:p>
            <w:pPr>
              <w:jc w:val="right"/>
              <w:textAlignment w:val="bottom"/>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公开08表</w:t>
            </w:r>
          </w:p>
        </w:tc>
      </w:tr>
      <w:tr>
        <w:tblPrEx>
          <w:tblCellMar>
            <w:top w:w="0" w:type="dxa"/>
            <w:left w:w="108" w:type="dxa"/>
            <w:bottom w:w="0" w:type="dxa"/>
            <w:right w:w="108" w:type="dxa"/>
          </w:tblCellMar>
        </w:tblPrEx>
        <w:trPr>
          <w:trHeight w:val="255" w:hRule="atLeast"/>
        </w:trPr>
        <w:tc>
          <w:tcPr>
            <w:tcW w:w="20023" w:type="dxa"/>
            <w:gridSpan w:val="12"/>
            <w:vMerge w:val="continue"/>
            <w:tcBorders>
              <w:left w:val="nil"/>
              <w:bottom w:val="nil"/>
              <w:right w:val="nil"/>
            </w:tcBorders>
            <w:shd w:val="clear" w:color="auto" w:fill="auto"/>
            <w:vAlign w:val="bottom"/>
          </w:tcPr>
          <w:p>
            <w:pPr>
              <w:rPr>
                <w:rFonts w:hint="default" w:ascii="Times New Roman" w:hAnsi="Times New Roman" w:cs="Times New Roman"/>
                <w:color w:val="000000"/>
                <w:sz w:val="20"/>
                <w:szCs w:val="20"/>
              </w:rPr>
            </w:pPr>
          </w:p>
        </w:tc>
        <w:tc>
          <w:tcPr>
            <w:tcW w:w="2116" w:type="dxa"/>
            <w:tcBorders>
              <w:top w:val="nil"/>
              <w:left w:val="nil"/>
              <w:bottom w:val="nil"/>
              <w:right w:val="nil"/>
            </w:tcBorders>
            <w:shd w:val="clear" w:color="auto" w:fill="auto"/>
            <w:vAlign w:val="bottom"/>
          </w:tcPr>
          <w:p>
            <w:pPr>
              <w:jc w:val="right"/>
              <w:textAlignment w:val="bottom"/>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单位：万元</w:t>
            </w:r>
          </w:p>
        </w:tc>
      </w:tr>
      <w:tr>
        <w:tblPrEx>
          <w:tblCellMar>
            <w:top w:w="0" w:type="dxa"/>
            <w:left w:w="108" w:type="dxa"/>
            <w:bottom w:w="0" w:type="dxa"/>
            <w:right w:w="108" w:type="dxa"/>
          </w:tblCellMar>
        </w:tblPrEx>
        <w:trPr>
          <w:trHeight w:val="308" w:hRule="atLeast"/>
        </w:trPr>
        <w:tc>
          <w:tcPr>
            <w:tcW w:w="100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科目代码</w:t>
            </w:r>
          </w:p>
        </w:tc>
        <w:tc>
          <w:tcPr>
            <w:tcW w:w="2664" w:type="dxa"/>
            <w:vMerge w:val="restart"/>
            <w:tcBorders>
              <w:top w:val="single" w:color="000000" w:sz="4" w:space="0"/>
              <w:left w:val="nil"/>
              <w:bottom w:val="single" w:color="000000" w:sz="4" w:space="0"/>
              <w:right w:val="single" w:color="000000" w:sz="4" w:space="0"/>
            </w:tcBorders>
            <w:shd w:val="clear" w:color="auto" w:fill="auto"/>
            <w:vAlign w:val="center"/>
          </w:tcPr>
          <w:p>
            <w:pPr>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科目名称</w:t>
            </w:r>
          </w:p>
        </w:tc>
        <w:tc>
          <w:tcPr>
            <w:tcW w:w="6686" w:type="dxa"/>
            <w:gridSpan w:val="3"/>
            <w:tcBorders>
              <w:top w:val="single" w:color="000000" w:sz="4" w:space="0"/>
              <w:left w:val="nil"/>
              <w:bottom w:val="single" w:color="000000" w:sz="4" w:space="0"/>
              <w:right w:val="single" w:color="000000" w:sz="4" w:space="0"/>
            </w:tcBorders>
            <w:shd w:val="clear" w:color="auto" w:fill="auto"/>
            <w:vAlign w:val="center"/>
          </w:tcPr>
          <w:p>
            <w:pPr>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年初结转和结余</w:t>
            </w:r>
          </w:p>
        </w:tc>
        <w:tc>
          <w:tcPr>
            <w:tcW w:w="2482" w:type="dxa"/>
            <w:vMerge w:val="restart"/>
            <w:tcBorders>
              <w:top w:val="single" w:color="000000" w:sz="4" w:space="0"/>
              <w:left w:val="nil"/>
              <w:bottom w:val="single" w:color="000000" w:sz="4" w:space="0"/>
              <w:right w:val="single" w:color="000000" w:sz="4" w:space="0"/>
            </w:tcBorders>
            <w:shd w:val="clear" w:color="auto" w:fill="auto"/>
            <w:vAlign w:val="center"/>
          </w:tcPr>
          <w:p>
            <w:pPr>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本年收入</w:t>
            </w:r>
          </w:p>
        </w:tc>
        <w:tc>
          <w:tcPr>
            <w:tcW w:w="2400" w:type="dxa"/>
            <w:vMerge w:val="restart"/>
            <w:tcBorders>
              <w:top w:val="single" w:color="000000" w:sz="4" w:space="0"/>
              <w:left w:val="nil"/>
              <w:bottom w:val="single" w:color="000000" w:sz="4" w:space="0"/>
              <w:right w:val="single" w:color="000000" w:sz="4" w:space="0"/>
            </w:tcBorders>
            <w:shd w:val="clear" w:color="auto" w:fill="auto"/>
            <w:vAlign w:val="center"/>
          </w:tcPr>
          <w:p>
            <w:pPr>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本年支出</w:t>
            </w:r>
          </w:p>
        </w:tc>
        <w:tc>
          <w:tcPr>
            <w:tcW w:w="6906" w:type="dxa"/>
            <w:gridSpan w:val="4"/>
            <w:tcBorders>
              <w:top w:val="single" w:color="000000" w:sz="4" w:space="0"/>
              <w:left w:val="nil"/>
              <w:bottom w:val="single" w:color="000000" w:sz="4" w:space="0"/>
              <w:right w:val="single" w:color="000000" w:sz="4" w:space="0"/>
            </w:tcBorders>
            <w:shd w:val="clear" w:color="auto" w:fill="auto"/>
            <w:vAlign w:val="center"/>
          </w:tcPr>
          <w:p>
            <w:pPr>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年末结转和结余</w:t>
            </w:r>
          </w:p>
        </w:tc>
      </w:tr>
      <w:tr>
        <w:tblPrEx>
          <w:tblCellMar>
            <w:top w:w="0" w:type="dxa"/>
            <w:left w:w="108" w:type="dxa"/>
            <w:bottom w:w="0" w:type="dxa"/>
            <w:right w:w="108" w:type="dxa"/>
          </w:tblCellMar>
        </w:tblPrEx>
        <w:trPr>
          <w:trHeight w:val="312" w:hRule="atLeast"/>
        </w:trPr>
        <w:tc>
          <w:tcPr>
            <w:tcW w:w="100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cs="Times New Roman"/>
                <w:b/>
                <w:bCs/>
                <w:color w:val="000000"/>
                <w:sz w:val="22"/>
                <w:szCs w:val="22"/>
              </w:rPr>
            </w:pPr>
          </w:p>
        </w:tc>
        <w:tc>
          <w:tcPr>
            <w:tcW w:w="2664"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default" w:ascii="Times New Roman" w:hAnsi="Times New Roman" w:cs="Times New Roman"/>
                <w:b/>
                <w:bCs/>
                <w:color w:val="000000"/>
                <w:sz w:val="22"/>
                <w:szCs w:val="22"/>
              </w:rPr>
            </w:pPr>
          </w:p>
        </w:tc>
        <w:tc>
          <w:tcPr>
            <w:tcW w:w="2437" w:type="dxa"/>
            <w:vMerge w:val="restart"/>
            <w:tcBorders>
              <w:top w:val="nil"/>
              <w:left w:val="nil"/>
              <w:bottom w:val="single" w:color="000000" w:sz="4" w:space="0"/>
              <w:right w:val="single" w:color="000000" w:sz="4" w:space="0"/>
            </w:tcBorders>
            <w:shd w:val="clear" w:color="auto" w:fill="auto"/>
            <w:vAlign w:val="center"/>
          </w:tcPr>
          <w:p>
            <w:pPr>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合计</w:t>
            </w:r>
          </w:p>
        </w:tc>
        <w:tc>
          <w:tcPr>
            <w:tcW w:w="2063" w:type="dxa"/>
            <w:vMerge w:val="restart"/>
            <w:tcBorders>
              <w:top w:val="nil"/>
              <w:left w:val="nil"/>
              <w:bottom w:val="single" w:color="000000" w:sz="4" w:space="0"/>
              <w:right w:val="single" w:color="000000" w:sz="4" w:space="0"/>
            </w:tcBorders>
            <w:shd w:val="clear" w:color="auto" w:fill="auto"/>
            <w:vAlign w:val="center"/>
          </w:tcPr>
          <w:p>
            <w:pPr>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结转</w:t>
            </w:r>
          </w:p>
        </w:tc>
        <w:tc>
          <w:tcPr>
            <w:tcW w:w="2186" w:type="dxa"/>
            <w:vMerge w:val="restart"/>
            <w:tcBorders>
              <w:top w:val="nil"/>
              <w:left w:val="nil"/>
              <w:bottom w:val="single" w:color="000000" w:sz="4" w:space="0"/>
              <w:right w:val="single" w:color="000000" w:sz="4" w:space="0"/>
            </w:tcBorders>
            <w:shd w:val="clear" w:color="auto" w:fill="auto"/>
            <w:vAlign w:val="center"/>
          </w:tcPr>
          <w:p>
            <w:pPr>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结余</w:t>
            </w:r>
          </w:p>
        </w:tc>
        <w:tc>
          <w:tcPr>
            <w:tcW w:w="2482"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default" w:ascii="Times New Roman" w:hAnsi="Times New Roman" w:cs="Times New Roman"/>
                <w:b/>
                <w:bCs/>
                <w:color w:val="000000"/>
                <w:sz w:val="22"/>
                <w:szCs w:val="22"/>
              </w:rPr>
            </w:pPr>
          </w:p>
        </w:tc>
        <w:tc>
          <w:tcPr>
            <w:tcW w:w="2400"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default" w:ascii="Times New Roman" w:hAnsi="Times New Roman" w:cs="Times New Roman"/>
                <w:b/>
                <w:bCs/>
                <w:color w:val="000000"/>
                <w:sz w:val="22"/>
                <w:szCs w:val="22"/>
              </w:rPr>
            </w:pPr>
          </w:p>
        </w:tc>
        <w:tc>
          <w:tcPr>
            <w:tcW w:w="2307" w:type="dxa"/>
            <w:vMerge w:val="restart"/>
            <w:tcBorders>
              <w:top w:val="nil"/>
              <w:left w:val="nil"/>
              <w:bottom w:val="single" w:color="000000" w:sz="4" w:space="0"/>
              <w:right w:val="single" w:color="000000" w:sz="4" w:space="0"/>
            </w:tcBorders>
            <w:shd w:val="clear" w:color="auto" w:fill="auto"/>
            <w:vAlign w:val="center"/>
          </w:tcPr>
          <w:p>
            <w:pPr>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合计</w:t>
            </w:r>
          </w:p>
        </w:tc>
        <w:tc>
          <w:tcPr>
            <w:tcW w:w="2287" w:type="dxa"/>
            <w:vMerge w:val="restart"/>
            <w:tcBorders>
              <w:top w:val="nil"/>
              <w:left w:val="nil"/>
              <w:bottom w:val="single" w:color="000000" w:sz="4" w:space="0"/>
              <w:right w:val="single" w:color="000000" w:sz="4" w:space="0"/>
            </w:tcBorders>
            <w:shd w:val="clear" w:color="auto" w:fill="auto"/>
            <w:vAlign w:val="center"/>
          </w:tcPr>
          <w:p>
            <w:pPr>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结转</w:t>
            </w:r>
          </w:p>
        </w:tc>
        <w:tc>
          <w:tcPr>
            <w:tcW w:w="2312" w:type="dxa"/>
            <w:gridSpan w:val="2"/>
            <w:vMerge w:val="restart"/>
            <w:tcBorders>
              <w:top w:val="nil"/>
              <w:left w:val="nil"/>
              <w:bottom w:val="single" w:color="000000" w:sz="4" w:space="0"/>
              <w:right w:val="single" w:color="000000" w:sz="4" w:space="0"/>
            </w:tcBorders>
            <w:shd w:val="clear" w:color="auto" w:fill="auto"/>
            <w:vAlign w:val="center"/>
          </w:tcPr>
          <w:p>
            <w:pPr>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结余</w:t>
            </w:r>
          </w:p>
        </w:tc>
      </w:tr>
      <w:tr>
        <w:tblPrEx>
          <w:tblCellMar>
            <w:top w:w="0" w:type="dxa"/>
            <w:left w:w="108" w:type="dxa"/>
            <w:bottom w:w="0" w:type="dxa"/>
            <w:right w:w="108" w:type="dxa"/>
          </w:tblCellMar>
        </w:tblPrEx>
        <w:trPr>
          <w:trHeight w:val="312" w:hRule="atLeast"/>
        </w:trPr>
        <w:tc>
          <w:tcPr>
            <w:tcW w:w="100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cs="Times New Roman"/>
                <w:color w:val="000000"/>
                <w:sz w:val="22"/>
                <w:szCs w:val="22"/>
              </w:rPr>
            </w:pPr>
          </w:p>
        </w:tc>
        <w:tc>
          <w:tcPr>
            <w:tcW w:w="2664"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default" w:ascii="Times New Roman" w:hAnsi="Times New Roman" w:cs="Times New Roman"/>
                <w:color w:val="000000"/>
                <w:sz w:val="22"/>
                <w:szCs w:val="22"/>
              </w:rPr>
            </w:pPr>
          </w:p>
        </w:tc>
        <w:tc>
          <w:tcPr>
            <w:tcW w:w="2437" w:type="dxa"/>
            <w:vMerge w:val="continue"/>
            <w:tcBorders>
              <w:top w:val="nil"/>
              <w:left w:val="nil"/>
              <w:bottom w:val="single" w:color="000000" w:sz="4" w:space="0"/>
              <w:right w:val="single" w:color="000000" w:sz="4" w:space="0"/>
            </w:tcBorders>
            <w:shd w:val="clear" w:color="auto" w:fill="auto"/>
            <w:vAlign w:val="center"/>
          </w:tcPr>
          <w:p>
            <w:pPr>
              <w:jc w:val="center"/>
              <w:rPr>
                <w:rFonts w:hint="default" w:ascii="Times New Roman" w:hAnsi="Times New Roman" w:cs="Times New Roman"/>
                <w:color w:val="000000"/>
                <w:sz w:val="22"/>
                <w:szCs w:val="22"/>
              </w:rPr>
            </w:pPr>
          </w:p>
        </w:tc>
        <w:tc>
          <w:tcPr>
            <w:tcW w:w="2063" w:type="dxa"/>
            <w:vMerge w:val="continue"/>
            <w:tcBorders>
              <w:top w:val="nil"/>
              <w:left w:val="nil"/>
              <w:bottom w:val="single" w:color="000000" w:sz="4" w:space="0"/>
              <w:right w:val="single" w:color="000000" w:sz="4" w:space="0"/>
            </w:tcBorders>
            <w:shd w:val="clear" w:color="auto" w:fill="auto"/>
            <w:vAlign w:val="center"/>
          </w:tcPr>
          <w:p>
            <w:pPr>
              <w:jc w:val="center"/>
              <w:rPr>
                <w:rFonts w:hint="default" w:ascii="Times New Roman" w:hAnsi="Times New Roman" w:cs="Times New Roman"/>
                <w:color w:val="000000"/>
                <w:sz w:val="22"/>
                <w:szCs w:val="22"/>
              </w:rPr>
            </w:pPr>
          </w:p>
        </w:tc>
        <w:tc>
          <w:tcPr>
            <w:tcW w:w="2186" w:type="dxa"/>
            <w:vMerge w:val="continue"/>
            <w:tcBorders>
              <w:top w:val="nil"/>
              <w:left w:val="nil"/>
              <w:bottom w:val="single" w:color="000000" w:sz="4" w:space="0"/>
              <w:right w:val="single" w:color="000000" w:sz="4" w:space="0"/>
            </w:tcBorders>
            <w:shd w:val="clear" w:color="auto" w:fill="auto"/>
            <w:vAlign w:val="center"/>
          </w:tcPr>
          <w:p>
            <w:pPr>
              <w:jc w:val="center"/>
              <w:rPr>
                <w:rFonts w:hint="default" w:ascii="Times New Roman" w:hAnsi="Times New Roman" w:cs="Times New Roman"/>
                <w:color w:val="000000"/>
                <w:sz w:val="22"/>
                <w:szCs w:val="22"/>
              </w:rPr>
            </w:pPr>
          </w:p>
        </w:tc>
        <w:tc>
          <w:tcPr>
            <w:tcW w:w="2482"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default" w:ascii="Times New Roman" w:hAnsi="Times New Roman" w:cs="Times New Roman"/>
                <w:color w:val="000000"/>
                <w:sz w:val="22"/>
                <w:szCs w:val="22"/>
              </w:rPr>
            </w:pPr>
          </w:p>
        </w:tc>
        <w:tc>
          <w:tcPr>
            <w:tcW w:w="2400"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default" w:ascii="Times New Roman" w:hAnsi="Times New Roman" w:cs="Times New Roman"/>
                <w:color w:val="000000"/>
                <w:sz w:val="22"/>
                <w:szCs w:val="22"/>
              </w:rPr>
            </w:pPr>
          </w:p>
        </w:tc>
        <w:tc>
          <w:tcPr>
            <w:tcW w:w="2307" w:type="dxa"/>
            <w:vMerge w:val="continue"/>
            <w:tcBorders>
              <w:top w:val="nil"/>
              <w:left w:val="nil"/>
              <w:bottom w:val="single" w:color="000000" w:sz="4" w:space="0"/>
              <w:right w:val="single" w:color="000000" w:sz="4" w:space="0"/>
            </w:tcBorders>
            <w:shd w:val="clear" w:color="auto" w:fill="auto"/>
            <w:vAlign w:val="center"/>
          </w:tcPr>
          <w:p>
            <w:pPr>
              <w:jc w:val="center"/>
              <w:rPr>
                <w:rFonts w:hint="default" w:ascii="Times New Roman" w:hAnsi="Times New Roman" w:cs="Times New Roman"/>
                <w:color w:val="000000"/>
                <w:sz w:val="22"/>
                <w:szCs w:val="22"/>
              </w:rPr>
            </w:pPr>
          </w:p>
        </w:tc>
        <w:tc>
          <w:tcPr>
            <w:tcW w:w="2287" w:type="dxa"/>
            <w:vMerge w:val="continue"/>
            <w:tcBorders>
              <w:top w:val="nil"/>
              <w:left w:val="nil"/>
              <w:bottom w:val="single" w:color="000000" w:sz="4" w:space="0"/>
              <w:right w:val="single" w:color="000000" w:sz="4" w:space="0"/>
            </w:tcBorders>
            <w:shd w:val="clear" w:color="auto" w:fill="auto"/>
            <w:vAlign w:val="center"/>
          </w:tcPr>
          <w:p>
            <w:pPr>
              <w:jc w:val="center"/>
              <w:rPr>
                <w:rFonts w:hint="default" w:ascii="Times New Roman" w:hAnsi="Times New Roman" w:cs="Times New Roman"/>
                <w:color w:val="000000"/>
                <w:sz w:val="22"/>
                <w:szCs w:val="22"/>
              </w:rPr>
            </w:pPr>
          </w:p>
        </w:tc>
        <w:tc>
          <w:tcPr>
            <w:tcW w:w="2312" w:type="dxa"/>
            <w:gridSpan w:val="2"/>
            <w:vMerge w:val="continue"/>
            <w:tcBorders>
              <w:top w:val="nil"/>
              <w:left w:val="nil"/>
              <w:bottom w:val="single" w:color="000000" w:sz="4" w:space="0"/>
              <w:right w:val="single" w:color="000000" w:sz="4" w:space="0"/>
            </w:tcBorders>
            <w:shd w:val="clear" w:color="auto" w:fill="auto"/>
            <w:vAlign w:val="center"/>
          </w:tcPr>
          <w:p>
            <w:pPr>
              <w:jc w:val="center"/>
              <w:rPr>
                <w:rFonts w:hint="default" w:ascii="Times New Roman" w:hAnsi="Times New Roman" w:cs="Times New Roman"/>
                <w:color w:val="000000"/>
                <w:sz w:val="22"/>
                <w:szCs w:val="22"/>
              </w:rPr>
            </w:pPr>
          </w:p>
        </w:tc>
      </w:tr>
      <w:tr>
        <w:tblPrEx>
          <w:tblCellMar>
            <w:top w:w="0" w:type="dxa"/>
            <w:left w:w="108" w:type="dxa"/>
            <w:bottom w:w="0" w:type="dxa"/>
            <w:right w:w="108" w:type="dxa"/>
          </w:tblCellMar>
        </w:tblPrEx>
        <w:trPr>
          <w:trHeight w:val="615" w:hRule="atLeast"/>
        </w:trPr>
        <w:tc>
          <w:tcPr>
            <w:tcW w:w="100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cs="Times New Roman"/>
                <w:color w:val="000000"/>
                <w:sz w:val="22"/>
                <w:szCs w:val="22"/>
              </w:rPr>
            </w:pPr>
          </w:p>
        </w:tc>
        <w:tc>
          <w:tcPr>
            <w:tcW w:w="2664"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default" w:ascii="Times New Roman" w:hAnsi="Times New Roman" w:cs="Times New Roman"/>
                <w:color w:val="000000"/>
                <w:sz w:val="22"/>
                <w:szCs w:val="22"/>
              </w:rPr>
            </w:pPr>
          </w:p>
        </w:tc>
        <w:tc>
          <w:tcPr>
            <w:tcW w:w="2437" w:type="dxa"/>
            <w:vMerge w:val="continue"/>
            <w:tcBorders>
              <w:top w:val="nil"/>
              <w:left w:val="nil"/>
              <w:bottom w:val="single" w:color="000000" w:sz="4" w:space="0"/>
              <w:right w:val="single" w:color="000000" w:sz="4" w:space="0"/>
            </w:tcBorders>
            <w:shd w:val="clear" w:color="auto" w:fill="auto"/>
            <w:vAlign w:val="center"/>
          </w:tcPr>
          <w:p>
            <w:pPr>
              <w:jc w:val="center"/>
              <w:rPr>
                <w:rFonts w:hint="default" w:ascii="Times New Roman" w:hAnsi="Times New Roman" w:cs="Times New Roman"/>
                <w:color w:val="000000"/>
                <w:sz w:val="22"/>
                <w:szCs w:val="22"/>
              </w:rPr>
            </w:pPr>
          </w:p>
        </w:tc>
        <w:tc>
          <w:tcPr>
            <w:tcW w:w="2063" w:type="dxa"/>
            <w:vMerge w:val="continue"/>
            <w:tcBorders>
              <w:top w:val="nil"/>
              <w:left w:val="nil"/>
              <w:bottom w:val="single" w:color="000000" w:sz="4" w:space="0"/>
              <w:right w:val="single" w:color="000000" w:sz="4" w:space="0"/>
            </w:tcBorders>
            <w:shd w:val="clear" w:color="auto" w:fill="auto"/>
            <w:vAlign w:val="center"/>
          </w:tcPr>
          <w:p>
            <w:pPr>
              <w:jc w:val="center"/>
              <w:rPr>
                <w:rFonts w:hint="default" w:ascii="Times New Roman" w:hAnsi="Times New Roman" w:cs="Times New Roman"/>
                <w:color w:val="000000"/>
                <w:sz w:val="22"/>
                <w:szCs w:val="22"/>
              </w:rPr>
            </w:pPr>
          </w:p>
        </w:tc>
        <w:tc>
          <w:tcPr>
            <w:tcW w:w="2186" w:type="dxa"/>
            <w:vMerge w:val="continue"/>
            <w:tcBorders>
              <w:top w:val="nil"/>
              <w:left w:val="nil"/>
              <w:bottom w:val="single" w:color="000000" w:sz="4" w:space="0"/>
              <w:right w:val="single" w:color="000000" w:sz="4" w:space="0"/>
            </w:tcBorders>
            <w:shd w:val="clear" w:color="auto" w:fill="auto"/>
            <w:vAlign w:val="center"/>
          </w:tcPr>
          <w:p>
            <w:pPr>
              <w:jc w:val="center"/>
              <w:rPr>
                <w:rFonts w:hint="default" w:ascii="Times New Roman" w:hAnsi="Times New Roman" w:cs="Times New Roman"/>
                <w:color w:val="000000"/>
                <w:sz w:val="22"/>
                <w:szCs w:val="22"/>
              </w:rPr>
            </w:pPr>
          </w:p>
        </w:tc>
        <w:tc>
          <w:tcPr>
            <w:tcW w:w="2482"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default" w:ascii="Times New Roman" w:hAnsi="Times New Roman" w:cs="Times New Roman"/>
                <w:color w:val="000000"/>
                <w:sz w:val="22"/>
                <w:szCs w:val="22"/>
              </w:rPr>
            </w:pPr>
          </w:p>
        </w:tc>
        <w:tc>
          <w:tcPr>
            <w:tcW w:w="2400"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default" w:ascii="Times New Roman" w:hAnsi="Times New Roman" w:cs="Times New Roman"/>
                <w:color w:val="000000"/>
                <w:sz w:val="22"/>
                <w:szCs w:val="22"/>
              </w:rPr>
            </w:pPr>
          </w:p>
        </w:tc>
        <w:tc>
          <w:tcPr>
            <w:tcW w:w="2307" w:type="dxa"/>
            <w:vMerge w:val="continue"/>
            <w:tcBorders>
              <w:top w:val="nil"/>
              <w:left w:val="nil"/>
              <w:bottom w:val="single" w:color="000000" w:sz="4" w:space="0"/>
              <w:right w:val="single" w:color="000000" w:sz="4" w:space="0"/>
            </w:tcBorders>
            <w:shd w:val="clear" w:color="auto" w:fill="auto"/>
            <w:vAlign w:val="center"/>
          </w:tcPr>
          <w:p>
            <w:pPr>
              <w:jc w:val="center"/>
              <w:rPr>
                <w:rFonts w:hint="default" w:ascii="Times New Roman" w:hAnsi="Times New Roman" w:cs="Times New Roman"/>
                <w:color w:val="000000"/>
                <w:sz w:val="22"/>
                <w:szCs w:val="22"/>
              </w:rPr>
            </w:pPr>
          </w:p>
        </w:tc>
        <w:tc>
          <w:tcPr>
            <w:tcW w:w="2287" w:type="dxa"/>
            <w:vMerge w:val="continue"/>
            <w:tcBorders>
              <w:top w:val="nil"/>
              <w:left w:val="nil"/>
              <w:bottom w:val="single" w:color="000000" w:sz="4" w:space="0"/>
              <w:right w:val="single" w:color="000000" w:sz="4" w:space="0"/>
            </w:tcBorders>
            <w:shd w:val="clear" w:color="auto" w:fill="auto"/>
            <w:vAlign w:val="center"/>
          </w:tcPr>
          <w:p>
            <w:pPr>
              <w:jc w:val="center"/>
              <w:rPr>
                <w:rFonts w:hint="default" w:ascii="Times New Roman" w:hAnsi="Times New Roman" w:cs="Times New Roman"/>
                <w:color w:val="000000"/>
                <w:sz w:val="22"/>
                <w:szCs w:val="22"/>
              </w:rPr>
            </w:pPr>
          </w:p>
        </w:tc>
        <w:tc>
          <w:tcPr>
            <w:tcW w:w="2312" w:type="dxa"/>
            <w:gridSpan w:val="2"/>
            <w:vMerge w:val="continue"/>
            <w:tcBorders>
              <w:top w:val="nil"/>
              <w:left w:val="nil"/>
              <w:bottom w:val="single" w:color="000000" w:sz="4" w:space="0"/>
              <w:right w:val="single" w:color="000000" w:sz="4" w:space="0"/>
            </w:tcBorders>
            <w:shd w:val="clear" w:color="auto" w:fill="auto"/>
            <w:vAlign w:val="center"/>
          </w:tcPr>
          <w:p>
            <w:pPr>
              <w:jc w:val="center"/>
              <w:rPr>
                <w:rFonts w:hint="default" w:ascii="Times New Roman" w:hAnsi="Times New Roman" w:cs="Times New Roman"/>
                <w:color w:val="000000"/>
                <w:sz w:val="22"/>
                <w:szCs w:val="22"/>
              </w:rPr>
            </w:pPr>
          </w:p>
        </w:tc>
      </w:tr>
      <w:tr>
        <w:tblPrEx>
          <w:tblCellMar>
            <w:top w:w="0" w:type="dxa"/>
            <w:left w:w="108" w:type="dxa"/>
            <w:bottom w:w="0" w:type="dxa"/>
            <w:right w:w="108" w:type="dxa"/>
          </w:tblCellMar>
        </w:tblPrEx>
        <w:trPr>
          <w:trHeight w:val="308" w:hRule="atLeast"/>
        </w:trPr>
        <w:tc>
          <w:tcPr>
            <w:tcW w:w="301" w:type="dxa"/>
            <w:vMerge w:val="restart"/>
            <w:tcBorders>
              <w:top w:val="nil"/>
              <w:left w:val="single" w:color="000000" w:sz="4" w:space="0"/>
              <w:bottom w:val="single" w:color="000000" w:sz="4" w:space="0"/>
              <w:right w:val="single" w:color="000000" w:sz="4" w:space="0"/>
            </w:tcBorders>
            <w:shd w:val="clear" w:color="auto" w:fill="auto"/>
            <w:vAlign w:val="center"/>
          </w:tcPr>
          <w:p>
            <w:pPr>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类</w:t>
            </w:r>
          </w:p>
        </w:tc>
        <w:tc>
          <w:tcPr>
            <w:tcW w:w="350" w:type="dxa"/>
            <w:vMerge w:val="restart"/>
            <w:tcBorders>
              <w:top w:val="nil"/>
              <w:left w:val="nil"/>
              <w:bottom w:val="single" w:color="000000" w:sz="4" w:space="0"/>
              <w:right w:val="single" w:color="000000" w:sz="4" w:space="0"/>
            </w:tcBorders>
            <w:shd w:val="clear" w:color="auto" w:fill="auto"/>
            <w:vAlign w:val="center"/>
          </w:tcPr>
          <w:p>
            <w:pPr>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款</w:t>
            </w:r>
          </w:p>
        </w:tc>
        <w:tc>
          <w:tcPr>
            <w:tcW w:w="350" w:type="dxa"/>
            <w:vMerge w:val="restart"/>
            <w:tcBorders>
              <w:top w:val="nil"/>
              <w:left w:val="nil"/>
              <w:bottom w:val="single" w:color="000000" w:sz="4" w:space="0"/>
              <w:right w:val="single" w:color="000000" w:sz="4" w:space="0"/>
            </w:tcBorders>
            <w:shd w:val="clear" w:color="auto" w:fill="auto"/>
            <w:vAlign w:val="center"/>
          </w:tcPr>
          <w:p>
            <w:pPr>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项</w:t>
            </w:r>
          </w:p>
        </w:tc>
        <w:tc>
          <w:tcPr>
            <w:tcW w:w="2664" w:type="dxa"/>
            <w:tcBorders>
              <w:top w:val="nil"/>
              <w:left w:val="nil"/>
              <w:bottom w:val="single" w:color="000000" w:sz="4" w:space="0"/>
              <w:right w:val="single" w:color="000000" w:sz="4" w:space="0"/>
            </w:tcBorders>
            <w:shd w:val="clear" w:color="auto" w:fill="auto"/>
            <w:vAlign w:val="center"/>
          </w:tcPr>
          <w:p>
            <w:pPr>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栏次</w:t>
            </w:r>
          </w:p>
        </w:tc>
        <w:tc>
          <w:tcPr>
            <w:tcW w:w="2437"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1</w:t>
            </w:r>
          </w:p>
        </w:tc>
        <w:tc>
          <w:tcPr>
            <w:tcW w:w="2063"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2</w:t>
            </w:r>
          </w:p>
        </w:tc>
        <w:tc>
          <w:tcPr>
            <w:tcW w:w="2186"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3</w:t>
            </w:r>
          </w:p>
        </w:tc>
        <w:tc>
          <w:tcPr>
            <w:tcW w:w="2482"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4</w:t>
            </w:r>
          </w:p>
        </w:tc>
        <w:tc>
          <w:tcPr>
            <w:tcW w:w="2400"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5</w:t>
            </w:r>
          </w:p>
        </w:tc>
        <w:tc>
          <w:tcPr>
            <w:tcW w:w="2307"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6</w:t>
            </w:r>
          </w:p>
        </w:tc>
        <w:tc>
          <w:tcPr>
            <w:tcW w:w="2287" w:type="dxa"/>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7</w:t>
            </w:r>
          </w:p>
        </w:tc>
        <w:tc>
          <w:tcPr>
            <w:tcW w:w="2312" w:type="dxa"/>
            <w:gridSpan w:val="2"/>
            <w:tcBorders>
              <w:top w:val="nil"/>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8</w:t>
            </w:r>
          </w:p>
        </w:tc>
      </w:tr>
      <w:tr>
        <w:tblPrEx>
          <w:tblCellMar>
            <w:top w:w="0" w:type="dxa"/>
            <w:left w:w="108" w:type="dxa"/>
            <w:bottom w:w="0" w:type="dxa"/>
            <w:right w:w="108" w:type="dxa"/>
          </w:tblCellMar>
        </w:tblPrEx>
        <w:trPr>
          <w:trHeight w:val="308" w:hRule="atLeast"/>
        </w:trPr>
        <w:tc>
          <w:tcPr>
            <w:tcW w:w="301"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cs="Times New Roman"/>
                <w:b/>
                <w:bCs/>
                <w:color w:val="000000"/>
                <w:sz w:val="22"/>
                <w:szCs w:val="22"/>
              </w:rPr>
            </w:pPr>
          </w:p>
        </w:tc>
        <w:tc>
          <w:tcPr>
            <w:tcW w:w="350" w:type="dxa"/>
            <w:vMerge w:val="continue"/>
            <w:tcBorders>
              <w:top w:val="nil"/>
              <w:left w:val="nil"/>
              <w:bottom w:val="single" w:color="000000" w:sz="4" w:space="0"/>
              <w:right w:val="single" w:color="000000" w:sz="4" w:space="0"/>
            </w:tcBorders>
            <w:shd w:val="clear" w:color="auto" w:fill="auto"/>
            <w:vAlign w:val="center"/>
          </w:tcPr>
          <w:p>
            <w:pPr>
              <w:jc w:val="center"/>
              <w:rPr>
                <w:rFonts w:hint="default" w:ascii="Times New Roman" w:hAnsi="Times New Roman" w:cs="Times New Roman"/>
                <w:b/>
                <w:bCs/>
                <w:color w:val="000000"/>
                <w:sz w:val="22"/>
                <w:szCs w:val="22"/>
              </w:rPr>
            </w:pPr>
          </w:p>
        </w:tc>
        <w:tc>
          <w:tcPr>
            <w:tcW w:w="350" w:type="dxa"/>
            <w:vMerge w:val="continue"/>
            <w:tcBorders>
              <w:top w:val="nil"/>
              <w:left w:val="nil"/>
              <w:bottom w:val="single" w:color="000000" w:sz="4" w:space="0"/>
              <w:right w:val="single" w:color="000000" w:sz="4" w:space="0"/>
            </w:tcBorders>
            <w:shd w:val="clear" w:color="auto" w:fill="auto"/>
            <w:vAlign w:val="center"/>
          </w:tcPr>
          <w:p>
            <w:pPr>
              <w:jc w:val="center"/>
              <w:rPr>
                <w:rFonts w:hint="default" w:ascii="Times New Roman" w:hAnsi="Times New Roman" w:cs="Times New Roman"/>
                <w:b/>
                <w:bCs/>
                <w:color w:val="000000"/>
                <w:sz w:val="22"/>
                <w:szCs w:val="22"/>
              </w:rPr>
            </w:pPr>
          </w:p>
        </w:tc>
        <w:tc>
          <w:tcPr>
            <w:tcW w:w="2664" w:type="dxa"/>
            <w:tcBorders>
              <w:top w:val="nil"/>
              <w:left w:val="nil"/>
              <w:bottom w:val="single" w:color="000000" w:sz="4" w:space="0"/>
              <w:right w:val="single" w:color="000000" w:sz="4" w:space="0"/>
            </w:tcBorders>
            <w:shd w:val="clear" w:color="auto" w:fill="auto"/>
            <w:vAlign w:val="center"/>
          </w:tcPr>
          <w:p>
            <w:pPr>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合计</w:t>
            </w:r>
          </w:p>
        </w:tc>
        <w:tc>
          <w:tcPr>
            <w:tcW w:w="2437" w:type="dxa"/>
            <w:tcBorders>
              <w:top w:val="nil"/>
              <w:left w:val="nil"/>
              <w:bottom w:val="single" w:color="000000" w:sz="4" w:space="0"/>
              <w:right w:val="single" w:color="000000" w:sz="4" w:space="0"/>
            </w:tcBorders>
            <w:shd w:val="clear" w:color="auto" w:fill="auto"/>
            <w:vAlign w:val="center"/>
          </w:tcPr>
          <w:p>
            <w:pPr>
              <w:wordWrap w:val="0"/>
              <w:spacing w:line="400" w:lineRule="exact"/>
              <w:jc w:val="righ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0.00 </w:t>
            </w:r>
          </w:p>
        </w:tc>
        <w:tc>
          <w:tcPr>
            <w:tcW w:w="2063" w:type="dxa"/>
            <w:tcBorders>
              <w:top w:val="nil"/>
              <w:left w:val="nil"/>
              <w:bottom w:val="single" w:color="000000" w:sz="4" w:space="0"/>
              <w:right w:val="single" w:color="000000" w:sz="4" w:space="0"/>
            </w:tcBorders>
            <w:shd w:val="clear" w:color="auto" w:fill="auto"/>
            <w:vAlign w:val="center"/>
          </w:tcPr>
          <w:p>
            <w:pPr>
              <w:wordWrap w:val="0"/>
              <w:spacing w:line="400" w:lineRule="exact"/>
              <w:jc w:val="righ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0.00 </w:t>
            </w:r>
          </w:p>
        </w:tc>
        <w:tc>
          <w:tcPr>
            <w:tcW w:w="2186" w:type="dxa"/>
            <w:tcBorders>
              <w:top w:val="nil"/>
              <w:left w:val="nil"/>
              <w:bottom w:val="single" w:color="000000" w:sz="4" w:space="0"/>
              <w:right w:val="single" w:color="000000" w:sz="4" w:space="0"/>
            </w:tcBorders>
            <w:shd w:val="clear" w:color="auto" w:fill="auto"/>
            <w:vAlign w:val="center"/>
          </w:tcPr>
          <w:p>
            <w:pPr>
              <w:wordWrap w:val="0"/>
              <w:spacing w:line="400" w:lineRule="exact"/>
              <w:jc w:val="righ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0.00 </w:t>
            </w:r>
          </w:p>
        </w:tc>
        <w:tc>
          <w:tcPr>
            <w:tcW w:w="2482" w:type="dxa"/>
            <w:tcBorders>
              <w:top w:val="nil"/>
              <w:left w:val="nil"/>
              <w:bottom w:val="single" w:color="000000" w:sz="4" w:space="0"/>
              <w:right w:val="single" w:color="000000" w:sz="4" w:space="0"/>
            </w:tcBorders>
            <w:shd w:val="clear" w:color="auto" w:fill="auto"/>
            <w:vAlign w:val="center"/>
          </w:tcPr>
          <w:p>
            <w:pPr>
              <w:wordWrap w:val="0"/>
              <w:spacing w:line="400" w:lineRule="exact"/>
              <w:jc w:val="righ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0.00 </w:t>
            </w:r>
          </w:p>
        </w:tc>
        <w:tc>
          <w:tcPr>
            <w:tcW w:w="2400" w:type="dxa"/>
            <w:tcBorders>
              <w:top w:val="nil"/>
              <w:left w:val="nil"/>
              <w:bottom w:val="single" w:color="000000" w:sz="4" w:space="0"/>
              <w:right w:val="single" w:color="000000" w:sz="4" w:space="0"/>
            </w:tcBorders>
            <w:shd w:val="clear" w:color="auto" w:fill="auto"/>
            <w:vAlign w:val="center"/>
          </w:tcPr>
          <w:p>
            <w:pPr>
              <w:wordWrap w:val="0"/>
              <w:spacing w:line="400" w:lineRule="exact"/>
              <w:jc w:val="righ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0.00 </w:t>
            </w:r>
          </w:p>
        </w:tc>
        <w:tc>
          <w:tcPr>
            <w:tcW w:w="2307" w:type="dxa"/>
            <w:tcBorders>
              <w:top w:val="nil"/>
              <w:left w:val="nil"/>
              <w:bottom w:val="single" w:color="000000" w:sz="4" w:space="0"/>
              <w:right w:val="single" w:color="000000" w:sz="4" w:space="0"/>
            </w:tcBorders>
            <w:shd w:val="clear" w:color="auto" w:fill="auto"/>
            <w:vAlign w:val="center"/>
          </w:tcPr>
          <w:p>
            <w:pPr>
              <w:wordWrap w:val="0"/>
              <w:spacing w:line="400" w:lineRule="exact"/>
              <w:jc w:val="righ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0.00 </w:t>
            </w:r>
          </w:p>
        </w:tc>
        <w:tc>
          <w:tcPr>
            <w:tcW w:w="2287" w:type="dxa"/>
            <w:tcBorders>
              <w:top w:val="nil"/>
              <w:left w:val="nil"/>
              <w:bottom w:val="single" w:color="000000" w:sz="4" w:space="0"/>
              <w:right w:val="single" w:color="000000" w:sz="4" w:space="0"/>
            </w:tcBorders>
            <w:shd w:val="clear" w:color="auto" w:fill="auto"/>
            <w:vAlign w:val="center"/>
          </w:tcPr>
          <w:p>
            <w:pPr>
              <w:wordWrap w:val="0"/>
              <w:spacing w:line="400" w:lineRule="exact"/>
              <w:jc w:val="righ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0.00 </w:t>
            </w:r>
          </w:p>
        </w:tc>
        <w:tc>
          <w:tcPr>
            <w:tcW w:w="2312" w:type="dxa"/>
            <w:gridSpan w:val="2"/>
            <w:tcBorders>
              <w:top w:val="nil"/>
              <w:left w:val="nil"/>
              <w:bottom w:val="single" w:color="000000" w:sz="4" w:space="0"/>
              <w:right w:val="single" w:color="000000" w:sz="4" w:space="0"/>
            </w:tcBorders>
            <w:shd w:val="clear" w:color="auto" w:fill="auto"/>
            <w:vAlign w:val="center"/>
          </w:tcPr>
          <w:p>
            <w:pPr>
              <w:wordWrap w:val="0"/>
              <w:spacing w:line="400" w:lineRule="exact"/>
              <w:jc w:val="righ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0.00 </w:t>
            </w:r>
          </w:p>
        </w:tc>
      </w:tr>
      <w:tr>
        <w:tblPrEx>
          <w:tblCellMar>
            <w:top w:w="0" w:type="dxa"/>
            <w:left w:w="108" w:type="dxa"/>
            <w:bottom w:w="0" w:type="dxa"/>
            <w:right w:w="108" w:type="dxa"/>
          </w:tblCellMar>
        </w:tblPrEx>
        <w:trPr>
          <w:trHeight w:val="308" w:hRule="atLeast"/>
        </w:trPr>
        <w:tc>
          <w:tcPr>
            <w:tcW w:w="10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2"/>
                <w:szCs w:val="22"/>
              </w:rPr>
            </w:pPr>
          </w:p>
        </w:tc>
        <w:tc>
          <w:tcPr>
            <w:tcW w:w="2664"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hint="default" w:ascii="Times New Roman" w:hAnsi="Times New Roman" w:cs="Times New Roman"/>
                <w:color w:val="000000"/>
                <w:sz w:val="22"/>
                <w:szCs w:val="22"/>
              </w:rPr>
            </w:pP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pPr>
              <w:wordWrap w:val="0"/>
              <w:spacing w:line="40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wordWrap w:val="0"/>
              <w:spacing w:line="40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wordWrap w:val="0"/>
              <w:spacing w:line="40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2482" w:type="dxa"/>
            <w:tcBorders>
              <w:top w:val="single" w:color="000000" w:sz="4" w:space="0"/>
              <w:left w:val="single" w:color="000000" w:sz="4" w:space="0"/>
              <w:bottom w:val="single" w:color="000000" w:sz="4" w:space="0"/>
              <w:right w:val="single" w:color="000000" w:sz="4" w:space="0"/>
            </w:tcBorders>
            <w:shd w:val="clear" w:color="auto" w:fill="auto"/>
            <w:vAlign w:val="center"/>
          </w:tcPr>
          <w:p>
            <w:pPr>
              <w:wordWrap w:val="0"/>
              <w:spacing w:line="40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pPr>
              <w:wordWrap w:val="0"/>
              <w:spacing w:line="40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pPr>
              <w:wordWrap w:val="0"/>
              <w:spacing w:line="40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pPr>
              <w:wordWrap w:val="0"/>
              <w:spacing w:line="40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23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ordWrap w:val="0"/>
              <w:spacing w:line="400" w:lineRule="exact"/>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r>
    </w:tbl>
    <w:p>
      <w:pPr>
        <w:rPr>
          <w:rFonts w:hint="default" w:ascii="Times New Roman" w:hAnsi="Times New Roman" w:cs="Times New Roman"/>
          <w:sz w:val="21"/>
          <w:szCs w:val="21"/>
        </w:rPr>
      </w:pPr>
      <w:r>
        <w:rPr>
          <w:rFonts w:hint="default" w:ascii="Times New Roman" w:hAnsi="Times New Roman" w:cs="Times New Roman"/>
          <w:sz w:val="20"/>
          <w:szCs w:val="20"/>
        </w:rPr>
        <w:t>备注：本表反映单位本年度国有资本经营预算财政拨款支出情况。本单位无国有资本经营收支，故本表无数据。</w:t>
      </w:r>
      <w:r>
        <w:rPr>
          <w:rFonts w:hint="default" w:ascii="Times New Roman" w:hAnsi="Times New Roman" w:cs="Times New Roman"/>
          <w:sz w:val="20"/>
          <w:szCs w:val="20"/>
        </w:rPr>
        <w:br w:type="textWrapping"/>
      </w:r>
      <w:r>
        <w:rPr>
          <w:rFonts w:hint="default" w:ascii="Times New Roman" w:hAnsi="Times New Roman" w:cs="Times New Roman"/>
          <w:sz w:val="20"/>
          <w:szCs w:val="20"/>
        </w:rPr>
        <w:br w:type="textWrapping"/>
      </w:r>
    </w:p>
    <w:p>
      <w:pPr>
        <w:rPr>
          <w:rFonts w:hint="default" w:ascii="Times New Roman" w:hAnsi="Times New Roman" w:cs="Times New Roman"/>
          <w:sz w:val="21"/>
          <w:szCs w:val="21"/>
        </w:rPr>
      </w:pPr>
      <w:r>
        <w:rPr>
          <w:rFonts w:hint="default" w:ascii="Times New Roman" w:hAnsi="Times New Roman" w:cs="Times New Roman"/>
          <w:sz w:val="21"/>
          <w:szCs w:val="21"/>
        </w:rPr>
        <w:br w:type="page"/>
      </w:r>
    </w:p>
    <w:tbl>
      <w:tblPr>
        <w:tblStyle w:val="7"/>
        <w:tblW w:w="20301" w:type="dxa"/>
        <w:tblInd w:w="93" w:type="dxa"/>
        <w:tblLayout w:type="fixed"/>
        <w:tblCellMar>
          <w:top w:w="0" w:type="dxa"/>
          <w:left w:w="108" w:type="dxa"/>
          <w:bottom w:w="0" w:type="dxa"/>
          <w:right w:w="108" w:type="dxa"/>
        </w:tblCellMar>
      </w:tblPr>
      <w:tblGrid>
        <w:gridCol w:w="4567"/>
        <w:gridCol w:w="867"/>
        <w:gridCol w:w="4383"/>
        <w:gridCol w:w="5317"/>
        <w:gridCol w:w="883"/>
        <w:gridCol w:w="4284"/>
      </w:tblGrid>
      <w:tr>
        <w:tblPrEx>
          <w:tblCellMar>
            <w:top w:w="0" w:type="dxa"/>
            <w:left w:w="108" w:type="dxa"/>
            <w:bottom w:w="0" w:type="dxa"/>
            <w:right w:w="108" w:type="dxa"/>
          </w:tblCellMar>
        </w:tblPrEx>
        <w:trPr>
          <w:trHeight w:val="540" w:hRule="atLeast"/>
        </w:trPr>
        <w:tc>
          <w:tcPr>
            <w:tcW w:w="20301" w:type="dxa"/>
            <w:gridSpan w:val="6"/>
            <w:tcBorders>
              <w:top w:val="nil"/>
              <w:left w:val="nil"/>
              <w:bottom w:val="nil"/>
              <w:right w:val="nil"/>
            </w:tcBorders>
            <w:shd w:val="clear" w:color="auto" w:fill="auto"/>
            <w:vAlign w:val="bottom"/>
          </w:tcPr>
          <w:p>
            <w:pPr>
              <w:jc w:val="center"/>
              <w:textAlignment w:val="bottom"/>
              <w:rPr>
                <w:rFonts w:hint="default" w:ascii="Times New Roman" w:hAnsi="Times New Roman" w:cs="Times New Roman"/>
                <w:color w:val="000000"/>
                <w:sz w:val="44"/>
                <w:szCs w:val="44"/>
              </w:rPr>
            </w:pPr>
            <w:r>
              <w:rPr>
                <w:rFonts w:hint="default" w:ascii="Times New Roman" w:hAnsi="Times New Roman" w:cs="Times New Roman"/>
                <w:b/>
                <w:bCs/>
                <w:color w:val="000000"/>
                <w:sz w:val="30"/>
                <w:szCs w:val="30"/>
              </w:rPr>
              <w:t>机构运行信息决算表</w:t>
            </w:r>
          </w:p>
        </w:tc>
      </w:tr>
      <w:tr>
        <w:tblPrEx>
          <w:tblCellMar>
            <w:top w:w="0" w:type="dxa"/>
            <w:left w:w="108" w:type="dxa"/>
            <w:bottom w:w="0" w:type="dxa"/>
            <w:right w:w="108" w:type="dxa"/>
          </w:tblCellMar>
        </w:tblPrEx>
        <w:trPr>
          <w:trHeight w:val="255" w:hRule="atLeast"/>
        </w:trPr>
        <w:tc>
          <w:tcPr>
            <w:tcW w:w="16017" w:type="dxa"/>
            <w:gridSpan w:val="5"/>
            <w:vMerge w:val="restart"/>
            <w:tcBorders>
              <w:top w:val="nil"/>
              <w:left w:val="nil"/>
              <w:right w:val="nil"/>
            </w:tcBorders>
            <w:shd w:val="clear" w:color="auto" w:fill="auto"/>
            <w:vAlign w:val="bottom"/>
          </w:tcPr>
          <w:p>
            <w:pP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单位：</w:t>
            </w:r>
            <w:r>
              <w:rPr>
                <w:rFonts w:hint="default" w:ascii="Times New Roman" w:hAnsi="Times New Roman" w:cs="Times New Roman"/>
                <w:color w:val="000000"/>
                <w:sz w:val="20"/>
              </w:rPr>
              <w:t>重庆市涪陵区同乐镇人民政府</w:t>
            </w:r>
          </w:p>
        </w:tc>
        <w:tc>
          <w:tcPr>
            <w:tcW w:w="4284" w:type="dxa"/>
            <w:tcBorders>
              <w:top w:val="nil"/>
              <w:left w:val="nil"/>
              <w:bottom w:val="nil"/>
              <w:right w:val="nil"/>
            </w:tcBorders>
            <w:shd w:val="clear" w:color="auto" w:fill="auto"/>
            <w:vAlign w:val="bottom"/>
          </w:tcPr>
          <w:p>
            <w:pPr>
              <w:jc w:val="right"/>
              <w:textAlignment w:val="bottom"/>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公开09表</w:t>
            </w:r>
          </w:p>
        </w:tc>
      </w:tr>
      <w:tr>
        <w:tblPrEx>
          <w:tblCellMar>
            <w:top w:w="0" w:type="dxa"/>
            <w:left w:w="108" w:type="dxa"/>
            <w:bottom w:w="0" w:type="dxa"/>
            <w:right w:w="108" w:type="dxa"/>
          </w:tblCellMar>
        </w:tblPrEx>
        <w:trPr>
          <w:trHeight w:val="255" w:hRule="atLeast"/>
        </w:trPr>
        <w:tc>
          <w:tcPr>
            <w:tcW w:w="16017" w:type="dxa"/>
            <w:gridSpan w:val="5"/>
            <w:vMerge w:val="continue"/>
            <w:tcBorders>
              <w:left w:val="nil"/>
              <w:bottom w:val="nil"/>
              <w:right w:val="nil"/>
            </w:tcBorders>
            <w:shd w:val="clear" w:color="auto" w:fill="auto"/>
            <w:vAlign w:val="bottom"/>
          </w:tcPr>
          <w:p>
            <w:pPr>
              <w:rPr>
                <w:rFonts w:hint="default" w:ascii="Times New Roman" w:hAnsi="Times New Roman" w:cs="Times New Roman"/>
                <w:color w:val="000000"/>
                <w:sz w:val="20"/>
                <w:szCs w:val="20"/>
              </w:rPr>
            </w:pPr>
          </w:p>
        </w:tc>
        <w:tc>
          <w:tcPr>
            <w:tcW w:w="4284" w:type="dxa"/>
            <w:tcBorders>
              <w:top w:val="nil"/>
              <w:left w:val="nil"/>
              <w:bottom w:val="nil"/>
              <w:right w:val="nil"/>
            </w:tcBorders>
            <w:shd w:val="clear" w:color="auto" w:fill="auto"/>
            <w:vAlign w:val="bottom"/>
          </w:tcPr>
          <w:p>
            <w:pPr>
              <w:jc w:val="right"/>
              <w:textAlignment w:val="bottom"/>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单位：万元</w:t>
            </w:r>
          </w:p>
        </w:tc>
      </w:tr>
      <w:tr>
        <w:tblPrEx>
          <w:tblCellMar>
            <w:top w:w="0" w:type="dxa"/>
            <w:left w:w="108" w:type="dxa"/>
            <w:bottom w:w="0" w:type="dxa"/>
            <w:right w:w="108" w:type="dxa"/>
          </w:tblCellMar>
        </w:tblPrEx>
        <w:trPr>
          <w:trHeight w:val="308" w:hRule="atLeast"/>
        </w:trPr>
        <w:tc>
          <w:tcPr>
            <w:tcW w:w="456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项  目</w:t>
            </w:r>
          </w:p>
        </w:tc>
        <w:tc>
          <w:tcPr>
            <w:tcW w:w="867" w:type="dxa"/>
            <w:tcBorders>
              <w:top w:val="single" w:color="000000" w:sz="4" w:space="0"/>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行次</w:t>
            </w:r>
          </w:p>
        </w:tc>
        <w:tc>
          <w:tcPr>
            <w:tcW w:w="4383" w:type="dxa"/>
            <w:tcBorders>
              <w:top w:val="single" w:color="000000" w:sz="4" w:space="0"/>
              <w:left w:val="nil"/>
              <w:bottom w:val="nil"/>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决算数</w:t>
            </w:r>
          </w:p>
        </w:tc>
        <w:tc>
          <w:tcPr>
            <w:tcW w:w="5317" w:type="dxa"/>
            <w:tcBorders>
              <w:top w:val="single" w:color="000000" w:sz="4" w:space="0"/>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项  目</w:t>
            </w:r>
          </w:p>
        </w:tc>
        <w:tc>
          <w:tcPr>
            <w:tcW w:w="883" w:type="dxa"/>
            <w:tcBorders>
              <w:top w:val="single" w:color="000000" w:sz="4" w:space="0"/>
              <w:left w:val="nil"/>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行次</w:t>
            </w:r>
          </w:p>
        </w:tc>
        <w:tc>
          <w:tcPr>
            <w:tcW w:w="4284" w:type="dxa"/>
            <w:tcBorders>
              <w:top w:val="single" w:color="000000" w:sz="4" w:space="0"/>
              <w:left w:val="nil"/>
              <w:bottom w:val="nil"/>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决算数</w:t>
            </w:r>
          </w:p>
        </w:tc>
      </w:tr>
      <w:tr>
        <w:tblPrEx>
          <w:tblCellMar>
            <w:top w:w="0" w:type="dxa"/>
            <w:left w:w="108" w:type="dxa"/>
            <w:bottom w:w="0" w:type="dxa"/>
            <w:right w:w="108" w:type="dxa"/>
          </w:tblCellMar>
        </w:tblPrEx>
        <w:trPr>
          <w:trHeight w:val="308" w:hRule="atLeast"/>
        </w:trPr>
        <w:tc>
          <w:tcPr>
            <w:tcW w:w="4567" w:type="dxa"/>
            <w:tcBorders>
              <w:top w:val="nil"/>
              <w:left w:val="single" w:color="000000" w:sz="4" w:space="0"/>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一、“三公”经费支出</w:t>
            </w:r>
          </w:p>
        </w:tc>
        <w:tc>
          <w:tcPr>
            <w:tcW w:w="867" w:type="dxa"/>
            <w:tcBorders>
              <w:top w:val="nil"/>
              <w:left w:val="nil"/>
              <w:bottom w:val="single" w:color="000000" w:sz="4" w:space="0"/>
              <w:right w:val="nil"/>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1</w:t>
            </w:r>
          </w:p>
        </w:tc>
        <w:tc>
          <w:tcPr>
            <w:tcW w:w="438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w:t>
            </w:r>
          </w:p>
        </w:tc>
        <w:tc>
          <w:tcPr>
            <w:tcW w:w="5317" w:type="dxa"/>
            <w:tcBorders>
              <w:top w:val="nil"/>
              <w:left w:val="nil"/>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五、机关运行经费</w:t>
            </w:r>
          </w:p>
        </w:tc>
        <w:tc>
          <w:tcPr>
            <w:tcW w:w="883" w:type="dxa"/>
            <w:tcBorders>
              <w:top w:val="nil"/>
              <w:left w:val="nil"/>
              <w:bottom w:val="single" w:color="000000" w:sz="4" w:space="0"/>
              <w:right w:val="nil"/>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25</w:t>
            </w:r>
          </w:p>
        </w:tc>
        <w:tc>
          <w:tcPr>
            <w:tcW w:w="42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425.48 </w:t>
            </w:r>
          </w:p>
        </w:tc>
      </w:tr>
      <w:tr>
        <w:tblPrEx>
          <w:tblCellMar>
            <w:top w:w="0" w:type="dxa"/>
            <w:left w:w="108" w:type="dxa"/>
            <w:bottom w:w="0" w:type="dxa"/>
            <w:right w:w="108" w:type="dxa"/>
          </w:tblCellMar>
        </w:tblPrEx>
        <w:trPr>
          <w:trHeight w:val="308" w:hRule="atLeast"/>
        </w:trPr>
        <w:tc>
          <w:tcPr>
            <w:tcW w:w="4567" w:type="dxa"/>
            <w:tcBorders>
              <w:top w:val="nil"/>
              <w:left w:val="single" w:color="000000" w:sz="4" w:space="0"/>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  （一）支出合计</w:t>
            </w:r>
          </w:p>
        </w:tc>
        <w:tc>
          <w:tcPr>
            <w:tcW w:w="867" w:type="dxa"/>
            <w:tcBorders>
              <w:top w:val="nil"/>
              <w:left w:val="nil"/>
              <w:bottom w:val="single" w:color="000000" w:sz="4" w:space="0"/>
              <w:right w:val="nil"/>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2</w:t>
            </w:r>
          </w:p>
        </w:tc>
        <w:tc>
          <w:tcPr>
            <w:tcW w:w="43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15.95 </w:t>
            </w:r>
          </w:p>
        </w:tc>
        <w:tc>
          <w:tcPr>
            <w:tcW w:w="5317" w:type="dxa"/>
            <w:tcBorders>
              <w:top w:val="nil"/>
              <w:left w:val="nil"/>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  （一）行政单位</w:t>
            </w:r>
          </w:p>
        </w:tc>
        <w:tc>
          <w:tcPr>
            <w:tcW w:w="883" w:type="dxa"/>
            <w:tcBorders>
              <w:top w:val="nil"/>
              <w:left w:val="nil"/>
              <w:bottom w:val="single" w:color="000000" w:sz="4" w:space="0"/>
              <w:right w:val="nil"/>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26</w:t>
            </w:r>
          </w:p>
        </w:tc>
        <w:tc>
          <w:tcPr>
            <w:tcW w:w="42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425.48 </w:t>
            </w:r>
          </w:p>
        </w:tc>
      </w:tr>
      <w:tr>
        <w:tblPrEx>
          <w:tblCellMar>
            <w:top w:w="0" w:type="dxa"/>
            <w:left w:w="108" w:type="dxa"/>
            <w:bottom w:w="0" w:type="dxa"/>
            <w:right w:w="108" w:type="dxa"/>
          </w:tblCellMar>
        </w:tblPrEx>
        <w:trPr>
          <w:trHeight w:val="308" w:hRule="atLeast"/>
        </w:trPr>
        <w:tc>
          <w:tcPr>
            <w:tcW w:w="4567" w:type="dxa"/>
            <w:tcBorders>
              <w:top w:val="nil"/>
              <w:left w:val="single" w:color="000000" w:sz="4" w:space="0"/>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     1．因公出国（境）费</w:t>
            </w:r>
          </w:p>
        </w:tc>
        <w:tc>
          <w:tcPr>
            <w:tcW w:w="867" w:type="dxa"/>
            <w:tcBorders>
              <w:top w:val="nil"/>
              <w:left w:val="nil"/>
              <w:bottom w:val="single" w:color="000000" w:sz="4" w:space="0"/>
              <w:right w:val="nil"/>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3</w:t>
            </w:r>
          </w:p>
        </w:tc>
        <w:tc>
          <w:tcPr>
            <w:tcW w:w="43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5317" w:type="dxa"/>
            <w:tcBorders>
              <w:top w:val="nil"/>
              <w:left w:val="nil"/>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  （二）参照公务员法管理事业单位</w:t>
            </w:r>
          </w:p>
        </w:tc>
        <w:tc>
          <w:tcPr>
            <w:tcW w:w="883" w:type="dxa"/>
            <w:tcBorders>
              <w:top w:val="nil"/>
              <w:left w:val="nil"/>
              <w:bottom w:val="single" w:color="000000" w:sz="4" w:space="0"/>
              <w:right w:val="nil"/>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27</w:t>
            </w:r>
          </w:p>
        </w:tc>
        <w:tc>
          <w:tcPr>
            <w:tcW w:w="42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r>
      <w:tr>
        <w:tblPrEx>
          <w:tblCellMar>
            <w:top w:w="0" w:type="dxa"/>
            <w:left w:w="108" w:type="dxa"/>
            <w:bottom w:w="0" w:type="dxa"/>
            <w:right w:w="108" w:type="dxa"/>
          </w:tblCellMar>
        </w:tblPrEx>
        <w:trPr>
          <w:trHeight w:val="308" w:hRule="atLeast"/>
        </w:trPr>
        <w:tc>
          <w:tcPr>
            <w:tcW w:w="4567" w:type="dxa"/>
            <w:tcBorders>
              <w:top w:val="nil"/>
              <w:left w:val="single" w:color="000000" w:sz="4" w:space="0"/>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     2．公务用车购置及运行维护费</w:t>
            </w:r>
          </w:p>
        </w:tc>
        <w:tc>
          <w:tcPr>
            <w:tcW w:w="867" w:type="dxa"/>
            <w:tcBorders>
              <w:top w:val="nil"/>
              <w:left w:val="nil"/>
              <w:bottom w:val="single" w:color="000000" w:sz="4" w:space="0"/>
              <w:right w:val="nil"/>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4</w:t>
            </w:r>
          </w:p>
        </w:tc>
        <w:tc>
          <w:tcPr>
            <w:tcW w:w="43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15.95 </w:t>
            </w:r>
          </w:p>
        </w:tc>
        <w:tc>
          <w:tcPr>
            <w:tcW w:w="5317" w:type="dxa"/>
            <w:tcBorders>
              <w:top w:val="nil"/>
              <w:left w:val="nil"/>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六、资产信息</w:t>
            </w:r>
          </w:p>
        </w:tc>
        <w:tc>
          <w:tcPr>
            <w:tcW w:w="883" w:type="dxa"/>
            <w:tcBorders>
              <w:top w:val="nil"/>
              <w:left w:val="nil"/>
              <w:bottom w:val="single" w:color="000000" w:sz="4" w:space="0"/>
              <w:right w:val="nil"/>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28</w:t>
            </w:r>
          </w:p>
        </w:tc>
        <w:tc>
          <w:tcPr>
            <w:tcW w:w="428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w:t>
            </w:r>
          </w:p>
        </w:tc>
      </w:tr>
      <w:tr>
        <w:tblPrEx>
          <w:tblCellMar>
            <w:top w:w="0" w:type="dxa"/>
            <w:left w:w="108" w:type="dxa"/>
            <w:bottom w:w="0" w:type="dxa"/>
            <w:right w:w="108" w:type="dxa"/>
          </w:tblCellMar>
        </w:tblPrEx>
        <w:trPr>
          <w:trHeight w:val="308" w:hRule="atLeast"/>
        </w:trPr>
        <w:tc>
          <w:tcPr>
            <w:tcW w:w="4567" w:type="dxa"/>
            <w:tcBorders>
              <w:top w:val="nil"/>
              <w:left w:val="single" w:color="000000" w:sz="4" w:space="0"/>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      （1）公务用车购置费</w:t>
            </w:r>
          </w:p>
        </w:tc>
        <w:tc>
          <w:tcPr>
            <w:tcW w:w="867" w:type="dxa"/>
            <w:tcBorders>
              <w:top w:val="nil"/>
              <w:left w:val="nil"/>
              <w:bottom w:val="single" w:color="000000" w:sz="4" w:space="0"/>
              <w:right w:val="nil"/>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5</w:t>
            </w:r>
          </w:p>
        </w:tc>
        <w:tc>
          <w:tcPr>
            <w:tcW w:w="43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5317" w:type="dxa"/>
            <w:tcBorders>
              <w:top w:val="nil"/>
              <w:left w:val="nil"/>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  （一）车辆数合计（辆）</w:t>
            </w:r>
          </w:p>
        </w:tc>
        <w:tc>
          <w:tcPr>
            <w:tcW w:w="883" w:type="dxa"/>
            <w:tcBorders>
              <w:top w:val="nil"/>
              <w:left w:val="nil"/>
              <w:bottom w:val="single" w:color="000000" w:sz="4" w:space="0"/>
              <w:right w:val="nil"/>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29</w:t>
            </w:r>
          </w:p>
        </w:tc>
        <w:tc>
          <w:tcPr>
            <w:tcW w:w="4284" w:type="dxa"/>
            <w:tcBorders>
              <w:top w:val="single" w:color="000000" w:sz="4" w:space="0"/>
              <w:left w:val="single" w:color="000000" w:sz="4" w:space="0"/>
              <w:bottom w:val="single" w:color="000000" w:sz="4" w:space="0"/>
              <w:right w:val="single" w:color="000000" w:sz="4" w:space="0"/>
            </w:tcBorders>
            <w:shd w:val="clear" w:color="auto" w:fill="auto"/>
            <w:vAlign w:val="bottom"/>
          </w:tcPr>
          <w:p>
            <w:pPr>
              <w:spacing w:line="400" w:lineRule="exact"/>
              <w:jc w:val="right"/>
              <w:textAlignment w:val="bottom"/>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13   </w:t>
            </w:r>
          </w:p>
        </w:tc>
      </w:tr>
      <w:tr>
        <w:tblPrEx>
          <w:tblCellMar>
            <w:top w:w="0" w:type="dxa"/>
            <w:left w:w="108" w:type="dxa"/>
            <w:bottom w:w="0" w:type="dxa"/>
            <w:right w:w="108" w:type="dxa"/>
          </w:tblCellMar>
        </w:tblPrEx>
        <w:trPr>
          <w:trHeight w:val="308" w:hRule="atLeast"/>
        </w:trPr>
        <w:tc>
          <w:tcPr>
            <w:tcW w:w="4567" w:type="dxa"/>
            <w:tcBorders>
              <w:top w:val="nil"/>
              <w:left w:val="single" w:color="000000" w:sz="4" w:space="0"/>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      （2）公务用车运行维护费</w:t>
            </w:r>
          </w:p>
        </w:tc>
        <w:tc>
          <w:tcPr>
            <w:tcW w:w="867" w:type="dxa"/>
            <w:tcBorders>
              <w:top w:val="nil"/>
              <w:left w:val="nil"/>
              <w:bottom w:val="single" w:color="000000" w:sz="4" w:space="0"/>
              <w:right w:val="nil"/>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6</w:t>
            </w:r>
          </w:p>
        </w:tc>
        <w:tc>
          <w:tcPr>
            <w:tcW w:w="43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15.95 </w:t>
            </w:r>
          </w:p>
        </w:tc>
        <w:tc>
          <w:tcPr>
            <w:tcW w:w="5317" w:type="dxa"/>
            <w:tcBorders>
              <w:top w:val="nil"/>
              <w:left w:val="nil"/>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     1．副部（省）级及以上领导用车</w:t>
            </w:r>
          </w:p>
        </w:tc>
        <w:tc>
          <w:tcPr>
            <w:tcW w:w="883" w:type="dxa"/>
            <w:tcBorders>
              <w:top w:val="nil"/>
              <w:left w:val="nil"/>
              <w:bottom w:val="single" w:color="000000" w:sz="4" w:space="0"/>
              <w:right w:val="nil"/>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30</w:t>
            </w:r>
          </w:p>
        </w:tc>
        <w:tc>
          <w:tcPr>
            <w:tcW w:w="4284" w:type="dxa"/>
            <w:tcBorders>
              <w:top w:val="single" w:color="000000" w:sz="4" w:space="0"/>
              <w:left w:val="single" w:color="000000" w:sz="4" w:space="0"/>
              <w:bottom w:val="single" w:color="000000" w:sz="4" w:space="0"/>
              <w:right w:val="single" w:color="000000" w:sz="4" w:space="0"/>
            </w:tcBorders>
            <w:shd w:val="clear" w:color="auto" w:fill="auto"/>
            <w:vAlign w:val="bottom"/>
          </w:tcPr>
          <w:p>
            <w:pPr>
              <w:spacing w:line="400" w:lineRule="exact"/>
              <w:jc w:val="right"/>
              <w:textAlignment w:val="bottom"/>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08" w:hRule="atLeast"/>
        </w:trPr>
        <w:tc>
          <w:tcPr>
            <w:tcW w:w="4567" w:type="dxa"/>
            <w:tcBorders>
              <w:top w:val="nil"/>
              <w:left w:val="single" w:color="000000" w:sz="4" w:space="0"/>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     3．公务接待费</w:t>
            </w:r>
          </w:p>
        </w:tc>
        <w:tc>
          <w:tcPr>
            <w:tcW w:w="867" w:type="dxa"/>
            <w:tcBorders>
              <w:top w:val="nil"/>
              <w:left w:val="nil"/>
              <w:bottom w:val="single" w:color="000000" w:sz="4" w:space="0"/>
              <w:right w:val="nil"/>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7</w:t>
            </w:r>
          </w:p>
        </w:tc>
        <w:tc>
          <w:tcPr>
            <w:tcW w:w="43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5317" w:type="dxa"/>
            <w:tcBorders>
              <w:top w:val="nil"/>
              <w:left w:val="nil"/>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     2．主要领导干部用车</w:t>
            </w:r>
          </w:p>
        </w:tc>
        <w:tc>
          <w:tcPr>
            <w:tcW w:w="883" w:type="dxa"/>
            <w:tcBorders>
              <w:top w:val="nil"/>
              <w:left w:val="nil"/>
              <w:bottom w:val="single" w:color="000000" w:sz="4" w:space="0"/>
              <w:right w:val="nil"/>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31</w:t>
            </w:r>
          </w:p>
        </w:tc>
        <w:tc>
          <w:tcPr>
            <w:tcW w:w="4284" w:type="dxa"/>
            <w:tcBorders>
              <w:top w:val="single" w:color="000000" w:sz="4" w:space="0"/>
              <w:left w:val="single" w:color="000000" w:sz="4" w:space="0"/>
              <w:bottom w:val="single" w:color="000000" w:sz="4" w:space="0"/>
              <w:right w:val="single" w:color="000000" w:sz="4" w:space="0"/>
            </w:tcBorders>
            <w:shd w:val="clear" w:color="auto" w:fill="auto"/>
            <w:vAlign w:val="bottom"/>
          </w:tcPr>
          <w:p>
            <w:pPr>
              <w:spacing w:line="400" w:lineRule="exact"/>
              <w:jc w:val="right"/>
              <w:textAlignment w:val="bottom"/>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08" w:hRule="atLeast"/>
        </w:trPr>
        <w:tc>
          <w:tcPr>
            <w:tcW w:w="4567" w:type="dxa"/>
            <w:tcBorders>
              <w:top w:val="nil"/>
              <w:left w:val="single" w:color="000000" w:sz="4" w:space="0"/>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      （1）国内接待费</w:t>
            </w:r>
          </w:p>
        </w:tc>
        <w:tc>
          <w:tcPr>
            <w:tcW w:w="867" w:type="dxa"/>
            <w:tcBorders>
              <w:top w:val="nil"/>
              <w:left w:val="nil"/>
              <w:bottom w:val="single" w:color="000000" w:sz="4" w:space="0"/>
              <w:right w:val="nil"/>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8</w:t>
            </w:r>
          </w:p>
        </w:tc>
        <w:tc>
          <w:tcPr>
            <w:tcW w:w="43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5317" w:type="dxa"/>
            <w:tcBorders>
              <w:top w:val="nil"/>
              <w:left w:val="nil"/>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     3．机要通信用车</w:t>
            </w:r>
          </w:p>
        </w:tc>
        <w:tc>
          <w:tcPr>
            <w:tcW w:w="883" w:type="dxa"/>
            <w:tcBorders>
              <w:top w:val="nil"/>
              <w:left w:val="nil"/>
              <w:bottom w:val="single" w:color="000000" w:sz="4" w:space="0"/>
              <w:right w:val="nil"/>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32</w:t>
            </w:r>
          </w:p>
        </w:tc>
        <w:tc>
          <w:tcPr>
            <w:tcW w:w="4284" w:type="dxa"/>
            <w:tcBorders>
              <w:top w:val="single" w:color="000000" w:sz="4" w:space="0"/>
              <w:left w:val="single" w:color="000000" w:sz="4" w:space="0"/>
              <w:bottom w:val="single" w:color="000000" w:sz="4" w:space="0"/>
              <w:right w:val="single" w:color="000000" w:sz="4" w:space="0"/>
            </w:tcBorders>
            <w:shd w:val="clear" w:color="auto" w:fill="auto"/>
            <w:vAlign w:val="bottom"/>
          </w:tcPr>
          <w:p>
            <w:pPr>
              <w:spacing w:line="400" w:lineRule="exact"/>
              <w:jc w:val="right"/>
              <w:textAlignment w:val="bottom"/>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08" w:hRule="atLeast"/>
        </w:trPr>
        <w:tc>
          <w:tcPr>
            <w:tcW w:w="4567" w:type="dxa"/>
            <w:tcBorders>
              <w:top w:val="nil"/>
              <w:left w:val="single" w:color="000000" w:sz="4" w:space="0"/>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           其中：外事接待费</w:t>
            </w:r>
          </w:p>
        </w:tc>
        <w:tc>
          <w:tcPr>
            <w:tcW w:w="867" w:type="dxa"/>
            <w:tcBorders>
              <w:top w:val="nil"/>
              <w:left w:val="nil"/>
              <w:bottom w:val="single" w:color="000000" w:sz="4" w:space="0"/>
              <w:right w:val="nil"/>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9</w:t>
            </w:r>
          </w:p>
        </w:tc>
        <w:tc>
          <w:tcPr>
            <w:tcW w:w="43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5317" w:type="dxa"/>
            <w:tcBorders>
              <w:top w:val="nil"/>
              <w:left w:val="nil"/>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     4．应急保障用车</w:t>
            </w:r>
          </w:p>
        </w:tc>
        <w:tc>
          <w:tcPr>
            <w:tcW w:w="883" w:type="dxa"/>
            <w:tcBorders>
              <w:top w:val="nil"/>
              <w:left w:val="nil"/>
              <w:bottom w:val="single" w:color="000000" w:sz="4" w:space="0"/>
              <w:right w:val="nil"/>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33</w:t>
            </w:r>
          </w:p>
        </w:tc>
        <w:tc>
          <w:tcPr>
            <w:tcW w:w="4284" w:type="dxa"/>
            <w:tcBorders>
              <w:top w:val="single" w:color="000000" w:sz="4" w:space="0"/>
              <w:left w:val="single" w:color="000000" w:sz="4" w:space="0"/>
              <w:bottom w:val="single" w:color="000000" w:sz="4" w:space="0"/>
              <w:right w:val="single" w:color="000000" w:sz="4" w:space="0"/>
            </w:tcBorders>
            <w:shd w:val="clear" w:color="auto" w:fill="auto"/>
            <w:vAlign w:val="bottom"/>
          </w:tcPr>
          <w:p>
            <w:pPr>
              <w:spacing w:line="400" w:lineRule="exact"/>
              <w:jc w:val="right"/>
              <w:textAlignment w:val="bottom"/>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13 </w:t>
            </w:r>
          </w:p>
        </w:tc>
      </w:tr>
      <w:tr>
        <w:tblPrEx>
          <w:tblCellMar>
            <w:top w:w="0" w:type="dxa"/>
            <w:left w:w="108" w:type="dxa"/>
            <w:bottom w:w="0" w:type="dxa"/>
            <w:right w:w="108" w:type="dxa"/>
          </w:tblCellMar>
        </w:tblPrEx>
        <w:trPr>
          <w:trHeight w:val="308" w:hRule="atLeast"/>
        </w:trPr>
        <w:tc>
          <w:tcPr>
            <w:tcW w:w="4567" w:type="dxa"/>
            <w:tcBorders>
              <w:top w:val="nil"/>
              <w:left w:val="single" w:color="000000" w:sz="4" w:space="0"/>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      （2）国（境）外接待费</w:t>
            </w:r>
          </w:p>
        </w:tc>
        <w:tc>
          <w:tcPr>
            <w:tcW w:w="867" w:type="dxa"/>
            <w:tcBorders>
              <w:top w:val="nil"/>
              <w:left w:val="nil"/>
              <w:bottom w:val="single" w:color="000000" w:sz="4" w:space="0"/>
              <w:right w:val="nil"/>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10</w:t>
            </w:r>
          </w:p>
        </w:tc>
        <w:tc>
          <w:tcPr>
            <w:tcW w:w="43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5317" w:type="dxa"/>
            <w:tcBorders>
              <w:top w:val="nil"/>
              <w:left w:val="nil"/>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     5．执法执勤用车</w:t>
            </w:r>
          </w:p>
        </w:tc>
        <w:tc>
          <w:tcPr>
            <w:tcW w:w="883" w:type="dxa"/>
            <w:tcBorders>
              <w:top w:val="nil"/>
              <w:left w:val="nil"/>
              <w:bottom w:val="single" w:color="000000" w:sz="4" w:space="0"/>
              <w:right w:val="nil"/>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34</w:t>
            </w:r>
          </w:p>
        </w:tc>
        <w:tc>
          <w:tcPr>
            <w:tcW w:w="4284" w:type="dxa"/>
            <w:tcBorders>
              <w:top w:val="single" w:color="000000" w:sz="4" w:space="0"/>
              <w:left w:val="single" w:color="000000" w:sz="4" w:space="0"/>
              <w:bottom w:val="single" w:color="000000" w:sz="4" w:space="0"/>
              <w:right w:val="single" w:color="000000" w:sz="4" w:space="0"/>
            </w:tcBorders>
            <w:shd w:val="clear" w:color="auto" w:fill="auto"/>
            <w:vAlign w:val="bottom"/>
          </w:tcPr>
          <w:p>
            <w:pPr>
              <w:spacing w:line="400" w:lineRule="exact"/>
              <w:jc w:val="right"/>
              <w:textAlignment w:val="bottom"/>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08" w:hRule="atLeast"/>
        </w:trPr>
        <w:tc>
          <w:tcPr>
            <w:tcW w:w="4567" w:type="dxa"/>
            <w:tcBorders>
              <w:top w:val="nil"/>
              <w:left w:val="single" w:color="000000" w:sz="4" w:space="0"/>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  （二）相关统计数</w:t>
            </w:r>
          </w:p>
        </w:tc>
        <w:tc>
          <w:tcPr>
            <w:tcW w:w="867" w:type="dxa"/>
            <w:tcBorders>
              <w:top w:val="nil"/>
              <w:left w:val="nil"/>
              <w:bottom w:val="single" w:color="000000" w:sz="4" w:space="0"/>
              <w:right w:val="nil"/>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11</w:t>
            </w:r>
          </w:p>
        </w:tc>
        <w:tc>
          <w:tcPr>
            <w:tcW w:w="438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w:t>
            </w:r>
          </w:p>
        </w:tc>
        <w:tc>
          <w:tcPr>
            <w:tcW w:w="5317" w:type="dxa"/>
            <w:tcBorders>
              <w:top w:val="nil"/>
              <w:left w:val="nil"/>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     6．特种专业技术用车</w:t>
            </w:r>
          </w:p>
        </w:tc>
        <w:tc>
          <w:tcPr>
            <w:tcW w:w="883" w:type="dxa"/>
            <w:tcBorders>
              <w:top w:val="nil"/>
              <w:left w:val="nil"/>
              <w:bottom w:val="single" w:color="000000" w:sz="4" w:space="0"/>
              <w:right w:val="nil"/>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35</w:t>
            </w:r>
          </w:p>
        </w:tc>
        <w:tc>
          <w:tcPr>
            <w:tcW w:w="4284" w:type="dxa"/>
            <w:tcBorders>
              <w:top w:val="single" w:color="000000" w:sz="4" w:space="0"/>
              <w:left w:val="single" w:color="000000" w:sz="4" w:space="0"/>
              <w:bottom w:val="single" w:color="000000" w:sz="4" w:space="0"/>
              <w:right w:val="single" w:color="000000" w:sz="4" w:space="0"/>
            </w:tcBorders>
            <w:shd w:val="clear" w:color="auto" w:fill="auto"/>
            <w:vAlign w:val="bottom"/>
          </w:tcPr>
          <w:p>
            <w:pPr>
              <w:spacing w:line="400" w:lineRule="exact"/>
              <w:jc w:val="right"/>
              <w:textAlignment w:val="bottom"/>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08" w:hRule="atLeast"/>
        </w:trPr>
        <w:tc>
          <w:tcPr>
            <w:tcW w:w="4567" w:type="dxa"/>
            <w:tcBorders>
              <w:top w:val="nil"/>
              <w:left w:val="single" w:color="000000" w:sz="4" w:space="0"/>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     1．因公出国（境）团组数（个）</w:t>
            </w:r>
          </w:p>
        </w:tc>
        <w:tc>
          <w:tcPr>
            <w:tcW w:w="867" w:type="dxa"/>
            <w:tcBorders>
              <w:top w:val="nil"/>
              <w:left w:val="nil"/>
              <w:bottom w:val="single" w:color="000000" w:sz="4" w:space="0"/>
              <w:right w:val="nil"/>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12</w:t>
            </w:r>
          </w:p>
        </w:tc>
        <w:tc>
          <w:tcPr>
            <w:tcW w:w="43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5317" w:type="dxa"/>
            <w:tcBorders>
              <w:top w:val="nil"/>
              <w:left w:val="nil"/>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     7．离退休干部用车</w:t>
            </w:r>
          </w:p>
        </w:tc>
        <w:tc>
          <w:tcPr>
            <w:tcW w:w="883" w:type="dxa"/>
            <w:tcBorders>
              <w:top w:val="nil"/>
              <w:left w:val="nil"/>
              <w:bottom w:val="single" w:color="000000" w:sz="4" w:space="0"/>
              <w:right w:val="nil"/>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36</w:t>
            </w:r>
          </w:p>
        </w:tc>
        <w:tc>
          <w:tcPr>
            <w:tcW w:w="4284" w:type="dxa"/>
            <w:tcBorders>
              <w:top w:val="single" w:color="000000" w:sz="4" w:space="0"/>
              <w:left w:val="single" w:color="000000" w:sz="4" w:space="0"/>
              <w:bottom w:val="single" w:color="000000" w:sz="4" w:space="0"/>
              <w:right w:val="single" w:color="000000" w:sz="4" w:space="0"/>
            </w:tcBorders>
            <w:shd w:val="clear" w:color="auto" w:fill="auto"/>
            <w:vAlign w:val="bottom"/>
          </w:tcPr>
          <w:p>
            <w:pPr>
              <w:spacing w:line="400" w:lineRule="exact"/>
              <w:jc w:val="right"/>
              <w:textAlignment w:val="bottom"/>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08" w:hRule="atLeast"/>
        </w:trPr>
        <w:tc>
          <w:tcPr>
            <w:tcW w:w="4567" w:type="dxa"/>
            <w:tcBorders>
              <w:top w:val="nil"/>
              <w:left w:val="single" w:color="000000" w:sz="4" w:space="0"/>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     2．因公出国（境）人次数（人）</w:t>
            </w:r>
          </w:p>
        </w:tc>
        <w:tc>
          <w:tcPr>
            <w:tcW w:w="867" w:type="dxa"/>
            <w:tcBorders>
              <w:top w:val="nil"/>
              <w:left w:val="nil"/>
              <w:bottom w:val="single" w:color="000000" w:sz="4" w:space="0"/>
              <w:right w:val="nil"/>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13</w:t>
            </w:r>
          </w:p>
        </w:tc>
        <w:tc>
          <w:tcPr>
            <w:tcW w:w="43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5317" w:type="dxa"/>
            <w:tcBorders>
              <w:top w:val="nil"/>
              <w:left w:val="nil"/>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     8．其他用车</w:t>
            </w:r>
          </w:p>
        </w:tc>
        <w:tc>
          <w:tcPr>
            <w:tcW w:w="883" w:type="dxa"/>
            <w:tcBorders>
              <w:top w:val="nil"/>
              <w:left w:val="nil"/>
              <w:bottom w:val="single" w:color="000000" w:sz="4" w:space="0"/>
              <w:right w:val="nil"/>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37</w:t>
            </w:r>
          </w:p>
        </w:tc>
        <w:tc>
          <w:tcPr>
            <w:tcW w:w="4284" w:type="dxa"/>
            <w:tcBorders>
              <w:top w:val="single" w:color="000000" w:sz="4" w:space="0"/>
              <w:left w:val="single" w:color="000000" w:sz="4" w:space="0"/>
              <w:bottom w:val="single" w:color="000000" w:sz="4" w:space="0"/>
              <w:right w:val="single" w:color="000000" w:sz="4" w:space="0"/>
            </w:tcBorders>
            <w:shd w:val="clear" w:color="auto" w:fill="auto"/>
            <w:vAlign w:val="bottom"/>
          </w:tcPr>
          <w:p>
            <w:pPr>
              <w:spacing w:line="400" w:lineRule="exact"/>
              <w:jc w:val="right"/>
              <w:textAlignment w:val="bottom"/>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08" w:hRule="atLeast"/>
        </w:trPr>
        <w:tc>
          <w:tcPr>
            <w:tcW w:w="4567" w:type="dxa"/>
            <w:tcBorders>
              <w:top w:val="nil"/>
              <w:left w:val="single" w:color="000000" w:sz="4" w:space="0"/>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     3．公务用车购置数（辆）</w:t>
            </w:r>
          </w:p>
        </w:tc>
        <w:tc>
          <w:tcPr>
            <w:tcW w:w="867" w:type="dxa"/>
            <w:tcBorders>
              <w:top w:val="nil"/>
              <w:left w:val="nil"/>
              <w:bottom w:val="single" w:color="000000" w:sz="4" w:space="0"/>
              <w:right w:val="nil"/>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14</w:t>
            </w:r>
          </w:p>
        </w:tc>
        <w:tc>
          <w:tcPr>
            <w:tcW w:w="43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5317" w:type="dxa"/>
            <w:tcBorders>
              <w:top w:val="nil"/>
              <w:left w:val="nil"/>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  （二）单价100万元（含）以上设备（不含车辆）</w:t>
            </w:r>
          </w:p>
        </w:tc>
        <w:tc>
          <w:tcPr>
            <w:tcW w:w="883" w:type="dxa"/>
            <w:tcBorders>
              <w:top w:val="nil"/>
              <w:left w:val="nil"/>
              <w:bottom w:val="single" w:color="000000" w:sz="4" w:space="0"/>
              <w:right w:val="nil"/>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38</w:t>
            </w:r>
          </w:p>
        </w:tc>
        <w:tc>
          <w:tcPr>
            <w:tcW w:w="4284" w:type="dxa"/>
            <w:tcBorders>
              <w:top w:val="single" w:color="000000" w:sz="4" w:space="0"/>
              <w:left w:val="single" w:color="000000" w:sz="4" w:space="0"/>
              <w:bottom w:val="single" w:color="000000" w:sz="4" w:space="0"/>
              <w:right w:val="single" w:color="000000" w:sz="4" w:space="0"/>
            </w:tcBorders>
            <w:shd w:val="clear" w:color="auto" w:fill="auto"/>
            <w:vAlign w:val="bottom"/>
          </w:tcPr>
          <w:p>
            <w:pPr>
              <w:spacing w:line="400" w:lineRule="exact"/>
              <w:jc w:val="right"/>
              <w:textAlignment w:val="bottom"/>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0.00</w:t>
            </w:r>
          </w:p>
        </w:tc>
      </w:tr>
      <w:tr>
        <w:tblPrEx>
          <w:tblCellMar>
            <w:top w:w="0" w:type="dxa"/>
            <w:left w:w="108" w:type="dxa"/>
            <w:bottom w:w="0" w:type="dxa"/>
            <w:right w:w="108" w:type="dxa"/>
          </w:tblCellMar>
        </w:tblPrEx>
        <w:trPr>
          <w:trHeight w:val="308" w:hRule="atLeast"/>
        </w:trPr>
        <w:tc>
          <w:tcPr>
            <w:tcW w:w="4567" w:type="dxa"/>
            <w:tcBorders>
              <w:top w:val="nil"/>
              <w:left w:val="single" w:color="000000" w:sz="4" w:space="0"/>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     4．公务用车保有量（辆）</w:t>
            </w:r>
          </w:p>
        </w:tc>
        <w:tc>
          <w:tcPr>
            <w:tcW w:w="867" w:type="dxa"/>
            <w:tcBorders>
              <w:top w:val="nil"/>
              <w:left w:val="nil"/>
              <w:bottom w:val="single" w:color="000000" w:sz="4" w:space="0"/>
              <w:right w:val="nil"/>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15</w:t>
            </w:r>
          </w:p>
        </w:tc>
        <w:tc>
          <w:tcPr>
            <w:tcW w:w="43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5317" w:type="dxa"/>
            <w:tcBorders>
              <w:top w:val="nil"/>
              <w:left w:val="nil"/>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七、政府采购支出信息</w:t>
            </w:r>
          </w:p>
        </w:tc>
        <w:tc>
          <w:tcPr>
            <w:tcW w:w="883" w:type="dxa"/>
            <w:tcBorders>
              <w:top w:val="nil"/>
              <w:left w:val="nil"/>
              <w:bottom w:val="single" w:color="000000" w:sz="4" w:space="0"/>
              <w:right w:val="nil"/>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39</w:t>
            </w:r>
          </w:p>
        </w:tc>
        <w:tc>
          <w:tcPr>
            <w:tcW w:w="428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00" w:lineRule="exact"/>
              <w:jc w:val="center"/>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w:t>
            </w:r>
          </w:p>
        </w:tc>
      </w:tr>
      <w:tr>
        <w:tblPrEx>
          <w:tblCellMar>
            <w:top w:w="0" w:type="dxa"/>
            <w:left w:w="108" w:type="dxa"/>
            <w:bottom w:w="0" w:type="dxa"/>
            <w:right w:w="108" w:type="dxa"/>
          </w:tblCellMar>
        </w:tblPrEx>
        <w:trPr>
          <w:trHeight w:val="308" w:hRule="atLeast"/>
        </w:trPr>
        <w:tc>
          <w:tcPr>
            <w:tcW w:w="4567" w:type="dxa"/>
            <w:tcBorders>
              <w:top w:val="nil"/>
              <w:left w:val="single" w:color="000000" w:sz="4" w:space="0"/>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     5．国内公务接待批次（个）</w:t>
            </w:r>
          </w:p>
        </w:tc>
        <w:tc>
          <w:tcPr>
            <w:tcW w:w="867" w:type="dxa"/>
            <w:tcBorders>
              <w:top w:val="nil"/>
              <w:left w:val="nil"/>
              <w:bottom w:val="single" w:color="000000" w:sz="4" w:space="0"/>
              <w:right w:val="nil"/>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16</w:t>
            </w:r>
          </w:p>
        </w:tc>
        <w:tc>
          <w:tcPr>
            <w:tcW w:w="43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5317" w:type="dxa"/>
            <w:tcBorders>
              <w:top w:val="nil"/>
              <w:left w:val="nil"/>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  （一）政府采购支出合计</w:t>
            </w:r>
          </w:p>
        </w:tc>
        <w:tc>
          <w:tcPr>
            <w:tcW w:w="883" w:type="dxa"/>
            <w:tcBorders>
              <w:top w:val="nil"/>
              <w:left w:val="nil"/>
              <w:bottom w:val="single" w:color="000000" w:sz="4" w:space="0"/>
              <w:right w:val="nil"/>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40</w:t>
            </w:r>
          </w:p>
        </w:tc>
        <w:tc>
          <w:tcPr>
            <w:tcW w:w="42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991.02 </w:t>
            </w:r>
          </w:p>
        </w:tc>
      </w:tr>
      <w:tr>
        <w:tblPrEx>
          <w:tblCellMar>
            <w:top w:w="0" w:type="dxa"/>
            <w:left w:w="108" w:type="dxa"/>
            <w:bottom w:w="0" w:type="dxa"/>
            <w:right w:w="108" w:type="dxa"/>
          </w:tblCellMar>
        </w:tblPrEx>
        <w:trPr>
          <w:trHeight w:val="308" w:hRule="atLeast"/>
        </w:trPr>
        <w:tc>
          <w:tcPr>
            <w:tcW w:w="4567" w:type="dxa"/>
            <w:tcBorders>
              <w:top w:val="nil"/>
              <w:left w:val="single" w:color="000000" w:sz="4" w:space="0"/>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        其中：外事接待批次（个）</w:t>
            </w:r>
          </w:p>
        </w:tc>
        <w:tc>
          <w:tcPr>
            <w:tcW w:w="867" w:type="dxa"/>
            <w:tcBorders>
              <w:top w:val="nil"/>
              <w:left w:val="nil"/>
              <w:bottom w:val="single" w:color="000000" w:sz="4" w:space="0"/>
              <w:right w:val="nil"/>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17</w:t>
            </w:r>
          </w:p>
        </w:tc>
        <w:tc>
          <w:tcPr>
            <w:tcW w:w="43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5317" w:type="dxa"/>
            <w:tcBorders>
              <w:top w:val="nil"/>
              <w:left w:val="nil"/>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     1．政府采购货物支出</w:t>
            </w:r>
          </w:p>
        </w:tc>
        <w:tc>
          <w:tcPr>
            <w:tcW w:w="883" w:type="dxa"/>
            <w:tcBorders>
              <w:top w:val="nil"/>
              <w:left w:val="nil"/>
              <w:bottom w:val="single" w:color="000000" w:sz="4" w:space="0"/>
              <w:right w:val="nil"/>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41</w:t>
            </w:r>
          </w:p>
        </w:tc>
        <w:tc>
          <w:tcPr>
            <w:tcW w:w="42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r>
      <w:tr>
        <w:tblPrEx>
          <w:tblCellMar>
            <w:top w:w="0" w:type="dxa"/>
            <w:left w:w="108" w:type="dxa"/>
            <w:bottom w:w="0" w:type="dxa"/>
            <w:right w:w="108" w:type="dxa"/>
          </w:tblCellMar>
        </w:tblPrEx>
        <w:trPr>
          <w:trHeight w:val="308" w:hRule="atLeast"/>
        </w:trPr>
        <w:tc>
          <w:tcPr>
            <w:tcW w:w="4567" w:type="dxa"/>
            <w:tcBorders>
              <w:top w:val="nil"/>
              <w:left w:val="single" w:color="000000" w:sz="4" w:space="0"/>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     6．国内公务接待人次（人）</w:t>
            </w:r>
          </w:p>
        </w:tc>
        <w:tc>
          <w:tcPr>
            <w:tcW w:w="867" w:type="dxa"/>
            <w:tcBorders>
              <w:top w:val="nil"/>
              <w:left w:val="nil"/>
              <w:bottom w:val="single" w:color="000000" w:sz="4" w:space="0"/>
              <w:right w:val="nil"/>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18</w:t>
            </w:r>
          </w:p>
        </w:tc>
        <w:tc>
          <w:tcPr>
            <w:tcW w:w="43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5317" w:type="dxa"/>
            <w:tcBorders>
              <w:top w:val="nil"/>
              <w:left w:val="nil"/>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     2．政府采购工程支出</w:t>
            </w:r>
          </w:p>
        </w:tc>
        <w:tc>
          <w:tcPr>
            <w:tcW w:w="883" w:type="dxa"/>
            <w:tcBorders>
              <w:top w:val="nil"/>
              <w:left w:val="nil"/>
              <w:bottom w:val="single" w:color="000000" w:sz="4" w:space="0"/>
              <w:right w:val="nil"/>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42</w:t>
            </w:r>
          </w:p>
        </w:tc>
        <w:tc>
          <w:tcPr>
            <w:tcW w:w="42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991.02 </w:t>
            </w:r>
          </w:p>
        </w:tc>
      </w:tr>
      <w:tr>
        <w:tblPrEx>
          <w:tblCellMar>
            <w:top w:w="0" w:type="dxa"/>
            <w:left w:w="108" w:type="dxa"/>
            <w:bottom w:w="0" w:type="dxa"/>
            <w:right w:w="108" w:type="dxa"/>
          </w:tblCellMar>
        </w:tblPrEx>
        <w:trPr>
          <w:trHeight w:val="308" w:hRule="atLeast"/>
        </w:trPr>
        <w:tc>
          <w:tcPr>
            <w:tcW w:w="4567" w:type="dxa"/>
            <w:tcBorders>
              <w:top w:val="nil"/>
              <w:left w:val="single" w:color="000000" w:sz="4" w:space="0"/>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        其中：外事接待人次（人）</w:t>
            </w:r>
          </w:p>
        </w:tc>
        <w:tc>
          <w:tcPr>
            <w:tcW w:w="867" w:type="dxa"/>
            <w:tcBorders>
              <w:top w:val="nil"/>
              <w:left w:val="nil"/>
              <w:bottom w:val="single" w:color="000000" w:sz="4" w:space="0"/>
              <w:right w:val="nil"/>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19</w:t>
            </w:r>
          </w:p>
        </w:tc>
        <w:tc>
          <w:tcPr>
            <w:tcW w:w="43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5317" w:type="dxa"/>
            <w:tcBorders>
              <w:top w:val="nil"/>
              <w:left w:val="nil"/>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     3．政府采购服务支出</w:t>
            </w:r>
          </w:p>
        </w:tc>
        <w:tc>
          <w:tcPr>
            <w:tcW w:w="883" w:type="dxa"/>
            <w:tcBorders>
              <w:top w:val="nil"/>
              <w:left w:val="nil"/>
              <w:bottom w:val="single" w:color="000000" w:sz="4" w:space="0"/>
              <w:right w:val="nil"/>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43</w:t>
            </w:r>
          </w:p>
        </w:tc>
        <w:tc>
          <w:tcPr>
            <w:tcW w:w="42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r>
      <w:tr>
        <w:tblPrEx>
          <w:tblCellMar>
            <w:top w:w="0" w:type="dxa"/>
            <w:left w:w="108" w:type="dxa"/>
            <w:bottom w:w="0" w:type="dxa"/>
            <w:right w:w="108" w:type="dxa"/>
          </w:tblCellMar>
        </w:tblPrEx>
        <w:trPr>
          <w:trHeight w:val="308" w:hRule="atLeast"/>
        </w:trPr>
        <w:tc>
          <w:tcPr>
            <w:tcW w:w="4567" w:type="dxa"/>
            <w:tcBorders>
              <w:top w:val="nil"/>
              <w:left w:val="single" w:color="000000" w:sz="4" w:space="0"/>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     7．国（境）外公务接待批次（个）</w:t>
            </w:r>
          </w:p>
        </w:tc>
        <w:tc>
          <w:tcPr>
            <w:tcW w:w="867" w:type="dxa"/>
            <w:tcBorders>
              <w:top w:val="nil"/>
              <w:left w:val="nil"/>
              <w:bottom w:val="single" w:color="000000" w:sz="4" w:space="0"/>
              <w:right w:val="nil"/>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20</w:t>
            </w:r>
          </w:p>
        </w:tc>
        <w:tc>
          <w:tcPr>
            <w:tcW w:w="43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5317" w:type="dxa"/>
            <w:tcBorders>
              <w:top w:val="nil"/>
              <w:left w:val="nil"/>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  （二）政府采购授予中小企业合同金额</w:t>
            </w:r>
          </w:p>
        </w:tc>
        <w:tc>
          <w:tcPr>
            <w:tcW w:w="883" w:type="dxa"/>
            <w:tcBorders>
              <w:top w:val="nil"/>
              <w:left w:val="nil"/>
              <w:bottom w:val="single" w:color="000000" w:sz="4" w:space="0"/>
              <w:right w:val="nil"/>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44</w:t>
            </w:r>
          </w:p>
        </w:tc>
        <w:tc>
          <w:tcPr>
            <w:tcW w:w="42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991.02 </w:t>
            </w:r>
          </w:p>
        </w:tc>
      </w:tr>
      <w:tr>
        <w:tblPrEx>
          <w:tblCellMar>
            <w:top w:w="0" w:type="dxa"/>
            <w:left w:w="108" w:type="dxa"/>
            <w:bottom w:w="0" w:type="dxa"/>
            <w:right w:w="108" w:type="dxa"/>
          </w:tblCellMar>
        </w:tblPrEx>
        <w:trPr>
          <w:trHeight w:val="308" w:hRule="atLeast"/>
        </w:trPr>
        <w:tc>
          <w:tcPr>
            <w:tcW w:w="4567" w:type="dxa"/>
            <w:tcBorders>
              <w:top w:val="nil"/>
              <w:left w:val="single" w:color="000000" w:sz="4" w:space="0"/>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     8．国（境）外公务接待人次（人）</w:t>
            </w:r>
          </w:p>
        </w:tc>
        <w:tc>
          <w:tcPr>
            <w:tcW w:w="867" w:type="dxa"/>
            <w:tcBorders>
              <w:top w:val="nil"/>
              <w:left w:val="nil"/>
              <w:bottom w:val="single" w:color="000000" w:sz="4" w:space="0"/>
              <w:right w:val="nil"/>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21</w:t>
            </w:r>
          </w:p>
        </w:tc>
        <w:tc>
          <w:tcPr>
            <w:tcW w:w="43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5317" w:type="dxa"/>
            <w:tcBorders>
              <w:top w:val="nil"/>
              <w:left w:val="nil"/>
              <w:bottom w:val="single" w:color="000000"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 xml:space="preserve">        其中：授予小微企业合同金额</w:t>
            </w:r>
          </w:p>
        </w:tc>
        <w:tc>
          <w:tcPr>
            <w:tcW w:w="883" w:type="dxa"/>
            <w:tcBorders>
              <w:top w:val="nil"/>
              <w:left w:val="nil"/>
              <w:bottom w:val="single" w:color="000000" w:sz="4" w:space="0"/>
              <w:right w:val="nil"/>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45</w:t>
            </w:r>
          </w:p>
        </w:tc>
        <w:tc>
          <w:tcPr>
            <w:tcW w:w="42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572.10 </w:t>
            </w:r>
          </w:p>
        </w:tc>
      </w:tr>
      <w:tr>
        <w:tblPrEx>
          <w:tblCellMar>
            <w:top w:w="0" w:type="dxa"/>
            <w:left w:w="108" w:type="dxa"/>
            <w:bottom w:w="0" w:type="dxa"/>
            <w:right w:w="108" w:type="dxa"/>
          </w:tblCellMar>
        </w:tblPrEx>
        <w:trPr>
          <w:trHeight w:val="308" w:hRule="atLeast"/>
        </w:trPr>
        <w:tc>
          <w:tcPr>
            <w:tcW w:w="4567" w:type="dxa"/>
            <w:tcBorders>
              <w:top w:val="nil"/>
              <w:left w:val="single" w:color="000000" w:sz="4" w:space="0"/>
              <w:bottom w:val="single" w:color="auto" w:sz="4" w:space="0"/>
              <w:right w:val="single" w:color="000000"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二、会议费</w:t>
            </w:r>
          </w:p>
        </w:tc>
        <w:tc>
          <w:tcPr>
            <w:tcW w:w="867" w:type="dxa"/>
            <w:tcBorders>
              <w:top w:val="nil"/>
              <w:left w:val="nil"/>
              <w:bottom w:val="single" w:color="auto" w:sz="4" w:space="0"/>
              <w:right w:val="nil"/>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22</w:t>
            </w:r>
          </w:p>
        </w:tc>
        <w:tc>
          <w:tcPr>
            <w:tcW w:w="4383" w:type="dxa"/>
            <w:tcBorders>
              <w:top w:val="single" w:color="000000" w:sz="4" w:space="0"/>
              <w:left w:val="single" w:color="000000" w:sz="4" w:space="0"/>
              <w:bottom w:val="single" w:color="auto" w:sz="4" w:space="0"/>
              <w:right w:val="single" w:color="000000"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0.00 </w:t>
            </w:r>
          </w:p>
        </w:tc>
        <w:tc>
          <w:tcPr>
            <w:tcW w:w="5317" w:type="dxa"/>
            <w:tcBorders>
              <w:top w:val="nil"/>
              <w:left w:val="nil"/>
              <w:bottom w:val="single" w:color="auto" w:sz="4" w:space="0"/>
              <w:right w:val="single" w:color="000000" w:sz="4" w:space="0"/>
            </w:tcBorders>
            <w:shd w:val="clear" w:color="auto" w:fill="auto"/>
            <w:vAlign w:val="center"/>
          </w:tcPr>
          <w:p>
            <w:pPr>
              <w:spacing w:line="400" w:lineRule="exact"/>
              <w:rPr>
                <w:rFonts w:hint="default" w:ascii="Times New Roman" w:hAnsi="Times New Roman" w:cs="Times New Roman"/>
                <w:color w:val="000000"/>
                <w:sz w:val="22"/>
                <w:szCs w:val="22"/>
              </w:rPr>
            </w:pPr>
          </w:p>
        </w:tc>
        <w:tc>
          <w:tcPr>
            <w:tcW w:w="883" w:type="dxa"/>
            <w:tcBorders>
              <w:top w:val="nil"/>
              <w:left w:val="nil"/>
              <w:bottom w:val="single" w:color="auto" w:sz="4" w:space="0"/>
              <w:right w:val="nil"/>
            </w:tcBorders>
            <w:shd w:val="clear" w:color="auto" w:fill="auto"/>
            <w:vAlign w:val="center"/>
          </w:tcPr>
          <w:p>
            <w:pPr>
              <w:spacing w:line="400" w:lineRule="exact"/>
              <w:jc w:val="center"/>
              <w:textAlignment w:val="center"/>
              <w:rPr>
                <w:rFonts w:hint="default" w:ascii="Times New Roman" w:hAnsi="Times New Roman" w:cs="Times New Roman"/>
                <w:color w:val="000000"/>
                <w:sz w:val="22"/>
                <w:szCs w:val="22"/>
              </w:rPr>
            </w:pPr>
          </w:p>
        </w:tc>
        <w:tc>
          <w:tcPr>
            <w:tcW w:w="4284" w:type="dxa"/>
            <w:tcBorders>
              <w:top w:val="single" w:color="000000" w:sz="4" w:space="0"/>
              <w:left w:val="single" w:color="000000" w:sz="4" w:space="0"/>
              <w:bottom w:val="single" w:color="000000" w:sz="4" w:space="0"/>
              <w:right w:val="single" w:color="000000" w:sz="4" w:space="0"/>
            </w:tcBorders>
            <w:shd w:val="clear" w:color="auto" w:fill="auto"/>
            <w:vAlign w:val="bottom"/>
          </w:tcPr>
          <w:p>
            <w:pPr>
              <w:spacing w:line="400" w:lineRule="exact"/>
              <w:rPr>
                <w:rFonts w:hint="default" w:ascii="Times New Roman" w:hAnsi="Times New Roman" w:cs="Times New Roman"/>
                <w:color w:val="000000"/>
                <w:sz w:val="20"/>
                <w:szCs w:val="20"/>
              </w:rPr>
            </w:pPr>
          </w:p>
        </w:tc>
      </w:tr>
      <w:tr>
        <w:tblPrEx>
          <w:tblCellMar>
            <w:top w:w="0" w:type="dxa"/>
            <w:left w:w="108" w:type="dxa"/>
            <w:bottom w:w="0" w:type="dxa"/>
            <w:right w:w="108" w:type="dxa"/>
          </w:tblCellMar>
        </w:tblPrEx>
        <w:trPr>
          <w:trHeight w:val="308" w:hRule="atLeast"/>
        </w:trPr>
        <w:tc>
          <w:tcPr>
            <w:tcW w:w="4567"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三、培训费</w:t>
            </w:r>
          </w:p>
        </w:tc>
        <w:tc>
          <w:tcPr>
            <w:tcW w:w="867"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23</w:t>
            </w:r>
          </w:p>
        </w:tc>
        <w:tc>
          <w:tcPr>
            <w:tcW w:w="4383" w:type="dxa"/>
            <w:tcBorders>
              <w:top w:val="single" w:color="auto" w:sz="4" w:space="0"/>
              <w:left w:val="single" w:color="auto" w:sz="4" w:space="0"/>
              <w:bottom w:val="single" w:color="000000" w:sz="4" w:space="0"/>
              <w:right w:val="single" w:color="auto" w:sz="4" w:space="0"/>
            </w:tcBorders>
            <w:shd w:val="clear" w:color="auto" w:fill="auto"/>
            <w:vAlign w:val="center"/>
          </w:tcPr>
          <w:p>
            <w:pPr>
              <w:jc w:val="righ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 xml:space="preserve">0.77 </w:t>
            </w:r>
          </w:p>
        </w:tc>
        <w:tc>
          <w:tcPr>
            <w:tcW w:w="5317"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rPr>
                <w:rFonts w:hint="default" w:ascii="Times New Roman" w:hAnsi="Times New Roman" w:cs="Times New Roman"/>
                <w:color w:val="000000"/>
                <w:sz w:val="22"/>
                <w:szCs w:val="22"/>
              </w:rPr>
            </w:pPr>
          </w:p>
        </w:tc>
        <w:tc>
          <w:tcPr>
            <w:tcW w:w="88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textAlignment w:val="center"/>
              <w:rPr>
                <w:rFonts w:hint="default" w:ascii="Times New Roman" w:hAnsi="Times New Roman" w:cs="Times New Roman"/>
                <w:color w:val="000000"/>
                <w:sz w:val="22"/>
                <w:szCs w:val="22"/>
              </w:rPr>
            </w:pPr>
          </w:p>
        </w:tc>
        <w:tc>
          <w:tcPr>
            <w:tcW w:w="4284" w:type="dxa"/>
            <w:tcBorders>
              <w:top w:val="single" w:color="000000" w:sz="4" w:space="0"/>
              <w:left w:val="single" w:color="auto" w:sz="4" w:space="0"/>
              <w:bottom w:val="single" w:color="000000" w:sz="4" w:space="0"/>
              <w:right w:val="single" w:color="000000" w:sz="4" w:space="0"/>
            </w:tcBorders>
            <w:shd w:val="clear" w:color="auto" w:fill="auto"/>
            <w:vAlign w:val="bottom"/>
          </w:tcPr>
          <w:p>
            <w:pPr>
              <w:spacing w:line="400" w:lineRule="exact"/>
              <w:rPr>
                <w:rFonts w:hint="default" w:ascii="Times New Roman" w:hAnsi="Times New Roman" w:cs="Times New Roman"/>
                <w:color w:val="000000"/>
                <w:sz w:val="20"/>
                <w:szCs w:val="20"/>
              </w:rPr>
            </w:pPr>
          </w:p>
        </w:tc>
      </w:tr>
      <w:tr>
        <w:tblPrEx>
          <w:tblCellMar>
            <w:top w:w="0" w:type="dxa"/>
            <w:left w:w="108" w:type="dxa"/>
            <w:bottom w:w="0" w:type="dxa"/>
            <w:right w:w="108" w:type="dxa"/>
          </w:tblCellMar>
        </w:tblPrEx>
        <w:trPr>
          <w:trHeight w:val="308" w:hRule="atLeast"/>
        </w:trPr>
        <w:tc>
          <w:tcPr>
            <w:tcW w:w="4567"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textAlignment w:val="center"/>
              <w:rPr>
                <w:rFonts w:hint="default" w:ascii="Times New Roman" w:hAnsi="Times New Roman" w:cs="Times New Roman"/>
                <w:b/>
                <w:bCs/>
                <w:color w:val="000000"/>
                <w:kern w:val="2"/>
                <w:sz w:val="22"/>
                <w:szCs w:val="22"/>
              </w:rPr>
            </w:pPr>
            <w:r>
              <w:rPr>
                <w:rFonts w:hint="default" w:ascii="Times New Roman" w:hAnsi="Times New Roman" w:cs="Times New Roman"/>
                <w:b/>
                <w:bCs/>
                <w:color w:val="000000"/>
                <w:sz w:val="22"/>
                <w:szCs w:val="22"/>
              </w:rPr>
              <w:t>四、差旅费</w:t>
            </w:r>
          </w:p>
        </w:tc>
        <w:tc>
          <w:tcPr>
            <w:tcW w:w="867"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textAlignment w:val="center"/>
              <w:rPr>
                <w:rFonts w:hint="default" w:ascii="Times New Roman" w:hAnsi="Times New Roman" w:cs="Times New Roman"/>
                <w:b/>
                <w:bCs/>
                <w:color w:val="000000"/>
                <w:kern w:val="2"/>
                <w:sz w:val="22"/>
                <w:szCs w:val="22"/>
              </w:rPr>
            </w:pPr>
            <w:r>
              <w:rPr>
                <w:rFonts w:hint="default" w:ascii="Times New Roman" w:hAnsi="Times New Roman" w:cs="Times New Roman"/>
                <w:b/>
                <w:bCs/>
                <w:color w:val="000000"/>
                <w:sz w:val="22"/>
                <w:szCs w:val="22"/>
              </w:rPr>
              <w:t>24</w:t>
            </w:r>
          </w:p>
        </w:tc>
        <w:tc>
          <w:tcPr>
            <w:tcW w:w="4383" w:type="dxa"/>
            <w:tcBorders>
              <w:top w:val="single" w:color="000000" w:sz="4" w:space="0"/>
              <w:left w:val="single" w:color="auto" w:sz="4" w:space="0"/>
              <w:bottom w:val="single" w:color="auto" w:sz="4" w:space="0"/>
              <w:right w:val="single" w:color="auto" w:sz="4" w:space="0"/>
            </w:tcBorders>
            <w:shd w:val="clear" w:color="auto" w:fill="auto"/>
            <w:vAlign w:val="center"/>
          </w:tcPr>
          <w:p>
            <w:pPr>
              <w:jc w:val="right"/>
              <w:textAlignment w:val="center"/>
              <w:rPr>
                <w:rFonts w:hint="default" w:ascii="Times New Roman" w:hAnsi="Times New Roman" w:cs="Times New Roman"/>
                <w:color w:val="000000"/>
                <w:kern w:val="2"/>
                <w:sz w:val="22"/>
                <w:szCs w:val="22"/>
              </w:rPr>
            </w:pPr>
            <w:r>
              <w:rPr>
                <w:rFonts w:hint="default" w:ascii="Times New Roman" w:hAnsi="Times New Roman" w:cs="Times New Roman"/>
                <w:color w:val="000000"/>
                <w:sz w:val="22"/>
                <w:szCs w:val="22"/>
              </w:rPr>
              <w:t xml:space="preserve">51.91 </w:t>
            </w:r>
          </w:p>
        </w:tc>
        <w:tc>
          <w:tcPr>
            <w:tcW w:w="5317"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rPr>
                <w:rFonts w:hint="default" w:ascii="Times New Roman" w:hAnsi="Times New Roman" w:cs="Times New Roman"/>
                <w:color w:val="000000"/>
                <w:sz w:val="22"/>
                <w:szCs w:val="22"/>
              </w:rPr>
            </w:pPr>
          </w:p>
        </w:tc>
        <w:tc>
          <w:tcPr>
            <w:tcW w:w="88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textAlignment w:val="center"/>
              <w:rPr>
                <w:rFonts w:hint="default" w:ascii="Times New Roman" w:hAnsi="Times New Roman" w:cs="Times New Roman"/>
                <w:color w:val="000000"/>
                <w:sz w:val="22"/>
                <w:szCs w:val="22"/>
              </w:rPr>
            </w:pPr>
          </w:p>
        </w:tc>
        <w:tc>
          <w:tcPr>
            <w:tcW w:w="4284" w:type="dxa"/>
            <w:tcBorders>
              <w:top w:val="single" w:color="000000" w:sz="4" w:space="0"/>
              <w:left w:val="single" w:color="auto" w:sz="4" w:space="0"/>
              <w:bottom w:val="single" w:color="000000" w:sz="4" w:space="0"/>
              <w:right w:val="single" w:color="000000" w:sz="4" w:space="0"/>
            </w:tcBorders>
            <w:shd w:val="clear" w:color="auto" w:fill="auto"/>
            <w:vAlign w:val="bottom"/>
          </w:tcPr>
          <w:p>
            <w:pPr>
              <w:spacing w:line="400" w:lineRule="exact"/>
              <w:rPr>
                <w:rFonts w:hint="default" w:ascii="Times New Roman" w:hAnsi="Times New Roman" w:cs="Times New Roman"/>
                <w:color w:val="000000"/>
                <w:sz w:val="20"/>
                <w:szCs w:val="20"/>
              </w:rPr>
            </w:pPr>
          </w:p>
        </w:tc>
      </w:tr>
    </w:tbl>
    <w:p>
      <w:pPr>
        <w:rPr>
          <w:rFonts w:hint="default" w:ascii="Times New Roman" w:hAnsi="Times New Roman" w:cs="Times New Roman"/>
          <w:sz w:val="18"/>
          <w:szCs w:val="18"/>
        </w:rPr>
      </w:pPr>
      <w:r>
        <w:rPr>
          <w:rFonts w:hint="default" w:ascii="Times New Roman" w:hAnsi="Times New Roman" w:cs="Times New Roman"/>
          <w:sz w:val="18"/>
          <w:szCs w:val="18"/>
        </w:rPr>
        <w:t>备注：本表反映单位本年度财政拨款“三公”经费支出预决算情况。本单位无相关数据，故本表为空。</w:t>
      </w:r>
      <w:r>
        <w:rPr>
          <w:rFonts w:hint="default" w:ascii="Times New Roman" w:hAnsi="Times New Roman" w:cs="Times New Roman"/>
          <w:sz w:val="18"/>
          <w:szCs w:val="18"/>
        </w:rPr>
        <w:br w:type="textWrapping"/>
      </w:r>
      <w:r>
        <w:rPr>
          <w:rFonts w:hint="default" w:ascii="Times New Roman" w:hAnsi="Times New Roman" w:cs="Times New Roman"/>
          <w:sz w:val="18"/>
          <w:szCs w:val="18"/>
        </w:rPr>
        <w:br w:type="textWrapping"/>
      </w:r>
    </w:p>
    <w:p>
      <w:pPr>
        <w:pStyle w:val="6"/>
        <w:shd w:val="clear" w:color="auto" w:fill="FFFFFF"/>
        <w:spacing w:before="0" w:beforeAutospacing="0" w:after="0" w:afterAutospacing="0" w:line="596" w:lineRule="exact"/>
        <w:ind w:firstLine="642" w:firstLineChars="200"/>
        <w:rPr>
          <w:rStyle w:val="9"/>
          <w:rFonts w:hint="default" w:ascii="Times New Roman" w:hAnsi="Times New Roman" w:eastAsia="黑体" w:cs="Times New Roman"/>
          <w:sz w:val="32"/>
          <w:szCs w:val="32"/>
          <w:shd w:val="clear" w:color="auto" w:fill="FFFFFF"/>
        </w:rPr>
        <w:sectPr>
          <w:pgSz w:w="23811" w:h="16838" w:orient="landscape"/>
          <w:pgMar w:top="567" w:right="1440" w:bottom="-223" w:left="1440" w:header="851" w:footer="992" w:gutter="0"/>
          <w:pgNumType w:fmt="numberInDash"/>
          <w:cols w:space="0" w:num="1"/>
          <w:docGrid w:type="lines" w:linePitch="312" w:charSpace="0"/>
        </w:sectPr>
      </w:pPr>
    </w:p>
    <w:p>
      <w:pPr>
        <w:pStyle w:val="6"/>
        <w:shd w:val="clear" w:color="auto" w:fill="FFFFFF"/>
        <w:spacing w:before="0" w:beforeAutospacing="0" w:after="0" w:afterAutospacing="0" w:line="596" w:lineRule="exact"/>
        <w:jc w:val="center"/>
        <w:rPr>
          <w:rStyle w:val="9"/>
          <w:rFonts w:hint="default" w:ascii="Times New Roman" w:hAnsi="Times New Roman" w:eastAsia="方正小标宋_GBK" w:cs="Times New Roman"/>
          <w:sz w:val="36"/>
          <w:szCs w:val="36"/>
          <w:shd w:val="clear" w:color="auto" w:fill="FFFFFF"/>
        </w:rPr>
      </w:pPr>
      <w:r>
        <w:rPr>
          <w:rStyle w:val="9"/>
          <w:rFonts w:hint="default" w:ascii="Times New Roman" w:hAnsi="Times New Roman" w:eastAsia="方正小标宋_GBK" w:cs="Times New Roman"/>
          <w:sz w:val="36"/>
          <w:szCs w:val="36"/>
          <w:shd w:val="clear" w:color="auto" w:fill="FFFFFF"/>
        </w:rPr>
        <w:t>第三部分  重庆市涪陵区同乐镇人民政府部门决算情况说明</w:t>
      </w:r>
    </w:p>
    <w:p>
      <w:pPr>
        <w:pStyle w:val="6"/>
        <w:spacing w:before="0" w:beforeAutospacing="0" w:after="0" w:afterAutospacing="0" w:line="596" w:lineRule="exact"/>
        <w:rPr>
          <w:rFonts w:hint="default" w:ascii="Times New Roman" w:hAnsi="Times New Roman" w:eastAsia="方正仿宋_GBK" w:cs="Times New Roman"/>
          <w:sz w:val="32"/>
          <w:szCs w:val="32"/>
          <w:shd w:val="clear" w:color="auto" w:fill="FFFF00"/>
        </w:rPr>
      </w:pPr>
    </w:p>
    <w:p>
      <w:pPr>
        <w:pStyle w:val="6"/>
        <w:shd w:val="clear" w:color="auto" w:fill="FFFFFF"/>
        <w:spacing w:before="0" w:beforeAutospacing="0" w:after="0" w:afterAutospacing="0" w:line="596" w:lineRule="exact"/>
        <w:ind w:firstLine="640" w:firstLineChars="200"/>
        <w:rPr>
          <w:rStyle w:val="9"/>
          <w:rFonts w:hint="default" w:ascii="Times New Roman" w:hAnsi="Times New Roman" w:eastAsia="方正黑体_GBK" w:cs="Times New Roman"/>
          <w:b w:val="0"/>
          <w:bCs/>
          <w:sz w:val="32"/>
          <w:szCs w:val="32"/>
          <w:shd w:val="clear" w:color="auto" w:fill="FFFFFF"/>
        </w:rPr>
      </w:pPr>
      <w:r>
        <w:rPr>
          <w:rStyle w:val="9"/>
          <w:rFonts w:hint="default" w:ascii="Times New Roman" w:hAnsi="Times New Roman" w:eastAsia="方正黑体_GBK" w:cs="Times New Roman"/>
          <w:b w:val="0"/>
          <w:bCs/>
          <w:sz w:val="32"/>
          <w:szCs w:val="32"/>
          <w:shd w:val="clear" w:color="auto" w:fill="FFFFFF"/>
        </w:rPr>
        <w:t>一、收入支出决算总体情况说明</w:t>
      </w:r>
    </w:p>
    <w:p>
      <w:pPr>
        <w:pStyle w:val="6"/>
        <w:shd w:val="clear" w:color="auto" w:fill="FFFFFF"/>
        <w:spacing w:before="0" w:beforeAutospacing="0" w:after="0" w:afterAutospacing="0" w:line="596" w:lineRule="exact"/>
        <w:ind w:firstLine="640" w:firstLineChars="200"/>
        <w:jc w:val="both"/>
        <w:rPr>
          <w:rFonts w:hint="default" w:ascii="Times New Roman" w:hAnsi="Times New Roman" w:eastAsia="方正仿宋_GBK" w:cs="Times New Roman"/>
          <w:color w:val="FF0000"/>
          <w:sz w:val="32"/>
          <w:szCs w:val="32"/>
          <w:shd w:val="clear" w:color="auto" w:fill="FFFFFF"/>
        </w:rPr>
      </w:pPr>
      <w:r>
        <w:rPr>
          <w:rFonts w:hint="default" w:ascii="Times New Roman" w:hAnsi="Times New Roman" w:eastAsia="方正仿宋_GBK" w:cs="Times New Roman"/>
          <w:sz w:val="32"/>
          <w:szCs w:val="32"/>
          <w:shd w:val="clear" w:color="auto" w:fill="FFFFFF"/>
        </w:rPr>
        <w:t>2025年度收入、支出总计为4129.97万元。较上年增加673.98万元，增长19.50%，主要原因是一般公共预算财政拨款收入增加。</w:t>
      </w:r>
    </w:p>
    <w:p>
      <w:pPr>
        <w:pStyle w:val="6"/>
        <w:shd w:val="clear" w:color="auto" w:fill="FFFFFF"/>
        <w:spacing w:before="0" w:beforeAutospacing="0" w:after="0" w:afterAutospacing="0" w:line="596" w:lineRule="exact"/>
        <w:ind w:firstLine="640" w:firstLineChars="200"/>
        <w:jc w:val="both"/>
        <w:rPr>
          <w:rFonts w:hint="default" w:ascii="Times New Roman" w:hAnsi="Times New Roman" w:eastAsia="方正仿宋_GBK" w:cs="Times New Roman"/>
          <w:sz w:val="32"/>
          <w:szCs w:val="32"/>
          <w:shd w:val="clear" w:color="auto" w:fill="FFFFFF"/>
        </w:rPr>
      </w:pPr>
      <w:r>
        <w:rPr>
          <w:rFonts w:hint="default" w:ascii="Times New Roman" w:hAnsi="Times New Roman" w:eastAsia="方正仿宋_GBK" w:cs="Times New Roman"/>
          <w:sz w:val="32"/>
          <w:szCs w:val="32"/>
          <w:shd w:val="clear" w:color="auto" w:fill="FFFFFF"/>
        </w:rPr>
        <w:t>数据组成是：2025年初结转和结余0.00万元，本年收入4129.97万元，使用非财政拨款结余（含专用结余）0.00万元。本年支出4129.97万元，结余分配0.00万元，年末结转和结余0.00万元。</w:t>
      </w:r>
    </w:p>
    <w:p>
      <w:pPr>
        <w:pStyle w:val="6"/>
        <w:shd w:val="clear" w:color="auto" w:fill="FFFFFF"/>
        <w:spacing w:before="0" w:beforeAutospacing="0" w:after="0" w:afterAutospacing="0" w:line="596" w:lineRule="exact"/>
        <w:ind w:firstLine="642" w:firstLineChars="200"/>
        <w:jc w:val="both"/>
        <w:rPr>
          <w:rFonts w:hint="default" w:ascii="Times New Roman" w:hAnsi="Times New Roman" w:eastAsia="方正仿宋_GBK" w:cs="Times New Roman"/>
          <w:sz w:val="32"/>
          <w:szCs w:val="32"/>
          <w:shd w:val="clear" w:color="auto" w:fill="FFFFFF"/>
        </w:rPr>
      </w:pPr>
      <w:r>
        <w:rPr>
          <w:rFonts w:hint="eastAsia" w:ascii="方正楷体_GBK" w:hAnsi="方正楷体_GBK" w:eastAsia="方正楷体_GBK" w:cs="方正楷体_GBK"/>
          <w:b/>
          <w:bCs/>
          <w:sz w:val="32"/>
          <w:szCs w:val="32"/>
          <w:shd w:val="clear" w:color="auto" w:fill="FFFFFF"/>
        </w:rPr>
        <w:t>（一）本年收入情况。</w:t>
      </w:r>
      <w:r>
        <w:rPr>
          <w:rFonts w:hint="default" w:ascii="Times New Roman" w:hAnsi="Times New Roman" w:eastAsia="方正仿宋_GBK" w:cs="Times New Roman"/>
          <w:sz w:val="32"/>
          <w:szCs w:val="32"/>
          <w:shd w:val="clear" w:color="auto" w:fill="FFFFFF"/>
        </w:rPr>
        <w:t>2025年度收入4129.97万元，较上年增加673.98万元，增长19.50%，主要原因是一般公共预算财政拨款收入增加</w:t>
      </w:r>
      <w:r>
        <w:rPr>
          <w:rFonts w:hint="default" w:ascii="Times New Roman" w:hAnsi="Times New Roman" w:eastAsia="方正仿宋_GBK" w:cs="Times New Roman"/>
          <w:color w:val="0000FF"/>
          <w:sz w:val="32"/>
          <w:szCs w:val="32"/>
          <w:shd w:val="clear" w:color="auto" w:fill="FFFFFF"/>
        </w:rPr>
        <w:t>。</w:t>
      </w:r>
      <w:r>
        <w:rPr>
          <w:rFonts w:hint="default" w:ascii="Times New Roman" w:hAnsi="Times New Roman" w:eastAsia="方正仿宋_GBK" w:cs="Times New Roman"/>
          <w:sz w:val="32"/>
          <w:szCs w:val="32"/>
          <w:shd w:val="clear" w:color="auto" w:fill="FFFFFF"/>
        </w:rPr>
        <w:t>其中：财政拨款收入4129.97万元，占比100.0%。</w:t>
      </w:r>
    </w:p>
    <w:p>
      <w:pPr>
        <w:pStyle w:val="6"/>
        <w:snapToGrid w:val="0"/>
        <w:spacing w:before="0" w:beforeAutospacing="0" w:after="0" w:afterAutospacing="0" w:line="596" w:lineRule="exact"/>
        <w:ind w:firstLine="642" w:firstLineChars="200"/>
        <w:jc w:val="both"/>
        <w:rPr>
          <w:rFonts w:hint="default" w:ascii="Times New Roman" w:hAnsi="Times New Roman" w:eastAsia="方正仿宋_GBK" w:cs="Times New Roman"/>
          <w:sz w:val="32"/>
          <w:szCs w:val="32"/>
          <w:shd w:val="clear" w:color="auto" w:fill="FFFFFF"/>
        </w:rPr>
      </w:pPr>
      <w:r>
        <w:rPr>
          <w:rFonts w:hint="default" w:ascii="方正楷体_GBK" w:hAnsi="方正楷体_GBK" w:eastAsia="方正楷体_GBK" w:cs="方正楷体_GBK"/>
          <w:b/>
          <w:bCs/>
          <w:sz w:val="32"/>
          <w:szCs w:val="32"/>
          <w:shd w:val="clear" w:color="auto" w:fill="FFFFFF"/>
        </w:rPr>
        <w:t>（二）本年支出情况。</w:t>
      </w:r>
      <w:r>
        <w:rPr>
          <w:rFonts w:hint="default" w:ascii="Times New Roman" w:hAnsi="Times New Roman" w:eastAsia="方正仿宋_GBK" w:cs="Times New Roman"/>
          <w:sz w:val="32"/>
          <w:szCs w:val="32"/>
          <w:shd w:val="clear" w:color="auto" w:fill="FFFFFF"/>
        </w:rPr>
        <w:t>2025年度支出4129.97万元，较上年增加673.98万元，增长19.50%，主要原因是一般公共预算财政拨款收入增加。其中：基本支出2727.76万元，占比66.1%；项目支出1402.21万元，占比34.0%；经营支出</w:t>
      </w:r>
      <w:r>
        <w:rPr>
          <w:rFonts w:hint="default" w:ascii="Times New Roman" w:hAnsi="Times New Roman" w:eastAsia="方正仿宋_GBK" w:cs="Times New Roman"/>
          <w:sz w:val="32"/>
          <w:szCs w:val="32"/>
        </w:rPr>
        <w:t>0.00</w:t>
      </w:r>
      <w:r>
        <w:rPr>
          <w:rFonts w:hint="default" w:ascii="Times New Roman" w:hAnsi="Times New Roman" w:eastAsia="方正仿宋_GBK" w:cs="Times New Roman"/>
          <w:sz w:val="32"/>
          <w:szCs w:val="32"/>
          <w:shd w:val="clear" w:color="auto" w:fill="FFFFFF"/>
        </w:rPr>
        <w:t>万元，占比0.0%。</w:t>
      </w:r>
    </w:p>
    <w:p>
      <w:pPr>
        <w:pStyle w:val="6"/>
        <w:shd w:val="clear" w:color="auto" w:fill="FFFFFF"/>
        <w:spacing w:before="0" w:beforeAutospacing="0" w:after="0" w:afterAutospacing="0" w:line="596" w:lineRule="exact"/>
        <w:ind w:firstLine="640" w:firstLineChars="200"/>
        <w:rPr>
          <w:rStyle w:val="9"/>
          <w:rFonts w:hint="default" w:ascii="Times New Roman" w:hAnsi="Times New Roman" w:eastAsia="方正黑体_GBK" w:cs="Times New Roman"/>
          <w:b w:val="0"/>
          <w:bCs/>
          <w:sz w:val="32"/>
          <w:szCs w:val="32"/>
          <w:shd w:val="clear" w:color="auto" w:fill="FFFFFF"/>
        </w:rPr>
      </w:pPr>
      <w:r>
        <w:rPr>
          <w:rStyle w:val="9"/>
          <w:rFonts w:hint="default" w:ascii="Times New Roman" w:hAnsi="Times New Roman" w:eastAsia="方正黑体_GBK" w:cs="Times New Roman"/>
          <w:b w:val="0"/>
          <w:bCs/>
          <w:sz w:val="32"/>
          <w:szCs w:val="32"/>
          <w:shd w:val="clear" w:color="auto" w:fill="FFFFFF"/>
        </w:rPr>
        <w:t>二、财政拨款收入支出决算情况说明</w:t>
      </w:r>
    </w:p>
    <w:p>
      <w:pPr>
        <w:pStyle w:val="6"/>
        <w:shd w:val="clear" w:color="auto" w:fill="FFFFFF"/>
        <w:spacing w:before="0" w:beforeAutospacing="0" w:after="0" w:afterAutospacing="0" w:line="596" w:lineRule="exact"/>
        <w:ind w:firstLine="640" w:firstLineChars="200"/>
        <w:jc w:val="both"/>
        <w:rPr>
          <w:rFonts w:hint="default" w:ascii="Times New Roman" w:hAnsi="Times New Roman" w:eastAsia="方正仿宋_GBK" w:cs="Times New Roman"/>
          <w:sz w:val="32"/>
          <w:szCs w:val="32"/>
          <w:shd w:val="clear" w:color="auto" w:fill="FFFFFF"/>
        </w:rPr>
      </w:pPr>
      <w:r>
        <w:rPr>
          <w:rFonts w:hint="default" w:ascii="Times New Roman" w:hAnsi="Times New Roman" w:eastAsia="方正仿宋_GBK" w:cs="Times New Roman"/>
          <w:sz w:val="32"/>
          <w:szCs w:val="32"/>
          <w:shd w:val="clear" w:color="auto" w:fill="FFFFFF"/>
        </w:rPr>
        <w:t>2025年度财政拨款收入、支出总计为4129.97万元。较上年增加673.98万元，增长19.50%。主要原因是一般公共预算财政拨款收入增加。数据组成是：2025年初财政拨款结转和结余0.00万元，本年财政拨款收入4129.97万元。本年财政拨款支出4129.97万元，本年财政拨款年末结转和结余0.00万元。</w:t>
      </w:r>
    </w:p>
    <w:p>
      <w:pPr>
        <w:pStyle w:val="6"/>
        <w:shd w:val="clear" w:color="auto" w:fill="FFFFFF"/>
        <w:spacing w:before="0" w:beforeAutospacing="0" w:after="0" w:afterAutospacing="0" w:line="596" w:lineRule="exact"/>
        <w:ind w:firstLine="640" w:firstLineChars="200"/>
        <w:rPr>
          <w:rStyle w:val="9"/>
          <w:rFonts w:hint="default" w:ascii="Times New Roman" w:hAnsi="Times New Roman" w:eastAsia="方正黑体_GBK" w:cs="Times New Roman"/>
          <w:b w:val="0"/>
          <w:bCs/>
          <w:sz w:val="32"/>
          <w:szCs w:val="32"/>
          <w:shd w:val="clear" w:color="auto" w:fill="FFFFFF"/>
        </w:rPr>
      </w:pPr>
      <w:r>
        <w:rPr>
          <w:rStyle w:val="9"/>
          <w:rFonts w:hint="default" w:ascii="Times New Roman" w:hAnsi="Times New Roman" w:eastAsia="方正黑体_GBK" w:cs="Times New Roman"/>
          <w:b w:val="0"/>
          <w:bCs/>
          <w:sz w:val="32"/>
          <w:szCs w:val="32"/>
          <w:shd w:val="clear" w:color="auto" w:fill="FFFFFF"/>
        </w:rPr>
        <w:t>三、一般公共预算财政拨款收入支出决算情况说明</w:t>
      </w:r>
    </w:p>
    <w:p>
      <w:pPr>
        <w:pStyle w:val="6"/>
        <w:snapToGrid w:val="0"/>
        <w:spacing w:before="0" w:beforeAutospacing="0" w:after="0" w:afterAutospacing="0" w:line="596" w:lineRule="exact"/>
        <w:jc w:val="both"/>
        <w:rPr>
          <w:rFonts w:hint="default" w:ascii="方正楷体_GBK" w:hAnsi="方正楷体_GBK" w:eastAsia="方正楷体_GBK" w:cs="方正楷体_GBK"/>
          <w:b/>
          <w:bCs/>
          <w:sz w:val="32"/>
          <w:szCs w:val="32"/>
          <w:shd w:val="clear" w:color="auto" w:fill="FFFFFF"/>
        </w:rPr>
      </w:pPr>
      <w:r>
        <w:rPr>
          <w:rStyle w:val="9"/>
          <w:rFonts w:hint="default" w:ascii="Times New Roman" w:hAnsi="Times New Roman" w:eastAsia="黑体" w:cs="Times New Roman"/>
          <w:b w:val="0"/>
          <w:bCs/>
          <w:sz w:val="32"/>
          <w:szCs w:val="32"/>
          <w:shd w:val="clear" w:color="auto" w:fill="FFFFFF"/>
        </w:rPr>
        <w:t xml:space="preserve">   </w:t>
      </w:r>
      <w:r>
        <w:rPr>
          <w:rFonts w:hint="default" w:ascii="方正楷体_GBK" w:hAnsi="方正楷体_GBK" w:eastAsia="方正楷体_GBK" w:cs="方正楷体_GBK"/>
          <w:b/>
          <w:bCs/>
          <w:sz w:val="32"/>
          <w:szCs w:val="32"/>
          <w:shd w:val="clear" w:color="auto" w:fill="FFFFFF"/>
        </w:rPr>
        <w:t>（一）情况说明</w:t>
      </w:r>
    </w:p>
    <w:p>
      <w:pPr>
        <w:pStyle w:val="6"/>
        <w:snapToGrid w:val="0"/>
        <w:spacing w:before="0" w:beforeAutospacing="0" w:after="0" w:afterAutospacing="0" w:line="596" w:lineRule="exact"/>
        <w:ind w:firstLine="640" w:firstLineChars="200"/>
        <w:jc w:val="both"/>
        <w:rPr>
          <w:rFonts w:hint="default" w:ascii="Times New Roman" w:hAnsi="Times New Roman" w:eastAsia="方正仿宋_GBK" w:cs="Times New Roman"/>
          <w:color w:val="FF0000"/>
          <w:sz w:val="32"/>
          <w:szCs w:val="32"/>
          <w:shd w:val="clear" w:color="auto" w:fill="FFFFFF"/>
        </w:rPr>
      </w:pPr>
      <w:r>
        <w:rPr>
          <w:rFonts w:hint="default" w:ascii="Times New Roman" w:hAnsi="Times New Roman" w:eastAsia="方正仿宋_GBK" w:cs="Times New Roman"/>
          <w:sz w:val="32"/>
          <w:szCs w:val="32"/>
          <w:shd w:val="clear" w:color="auto" w:fill="FFFFFF"/>
        </w:rPr>
        <w:t>2025年度一般公共预算财政拨款年初结转结余0.00万元，本年收入4125.97万元</w:t>
      </w:r>
      <w:r>
        <w:rPr>
          <w:rFonts w:hint="default" w:ascii="Times New Roman" w:hAnsi="Times New Roman" w:eastAsia="方正仿宋_GBK" w:cs="Times New Roman"/>
          <w:b/>
          <w:bCs/>
          <w:sz w:val="32"/>
          <w:szCs w:val="32"/>
          <w:shd w:val="clear" w:color="auto" w:fill="FFFFFF"/>
        </w:rPr>
        <w:t>，</w:t>
      </w:r>
      <w:r>
        <w:rPr>
          <w:rFonts w:hint="default" w:ascii="Times New Roman" w:hAnsi="Times New Roman" w:eastAsia="方正仿宋_GBK" w:cs="Times New Roman"/>
          <w:sz w:val="32"/>
          <w:szCs w:val="32"/>
          <w:shd w:val="clear" w:color="auto" w:fill="FFFFFF"/>
        </w:rPr>
        <w:t>本年支出4125.97万元，年末结转结余0.00万元。本年支出较上年增加669.98万元，增长19.39%。主要原因是一般公共预算财政拨款收入增加</w:t>
      </w:r>
      <w:r>
        <w:rPr>
          <w:rFonts w:hint="default" w:ascii="Times New Roman" w:hAnsi="Times New Roman" w:eastAsia="方正仿宋_GBK" w:cs="Times New Roman"/>
          <w:color w:val="0000FF"/>
          <w:sz w:val="32"/>
          <w:szCs w:val="32"/>
          <w:shd w:val="clear" w:color="auto" w:fill="FFFFFF"/>
        </w:rPr>
        <w:t>；</w:t>
      </w:r>
      <w:r>
        <w:rPr>
          <w:rFonts w:hint="default" w:ascii="Times New Roman" w:hAnsi="Times New Roman" w:eastAsia="方正仿宋_GBK" w:cs="Times New Roman"/>
          <w:sz w:val="32"/>
          <w:szCs w:val="32"/>
          <w:shd w:val="clear" w:color="auto" w:fill="FFFFFF"/>
        </w:rPr>
        <w:t>完成年初预算数的140.47%</w:t>
      </w:r>
      <w:r>
        <w:rPr>
          <w:rFonts w:hint="default" w:ascii="Times New Roman" w:hAnsi="Times New Roman" w:eastAsia="方正仿宋_GBK" w:cs="Times New Roman"/>
          <w:b/>
          <w:bCs/>
          <w:sz w:val="32"/>
          <w:szCs w:val="32"/>
          <w:shd w:val="clear" w:color="auto" w:fill="FFFFFF"/>
        </w:rPr>
        <w:t>，</w:t>
      </w:r>
      <w:r>
        <w:rPr>
          <w:rFonts w:hint="default" w:ascii="Times New Roman" w:hAnsi="Times New Roman" w:eastAsia="方正仿宋_GBK" w:cs="Times New Roman"/>
          <w:sz w:val="32"/>
          <w:szCs w:val="32"/>
          <w:shd w:val="clear" w:color="auto" w:fill="FFFFFF"/>
        </w:rPr>
        <w:t>主要原因是新招录人员４名，森林防火、松材线虫除治、人居环境整治、行政执法等工作任务较重，导致相关指出增加。</w:t>
      </w:r>
    </w:p>
    <w:p>
      <w:pPr>
        <w:pStyle w:val="6"/>
        <w:snapToGrid w:val="0"/>
        <w:spacing w:before="0" w:beforeAutospacing="0" w:after="0" w:afterAutospacing="0" w:line="596" w:lineRule="exact"/>
        <w:ind w:firstLine="640" w:firstLineChars="200"/>
        <w:jc w:val="both"/>
        <w:rPr>
          <w:rFonts w:hint="default" w:ascii="Times New Roman" w:hAnsi="Times New Roman" w:eastAsia="方正仿宋_GBK" w:cs="Times New Roman"/>
          <w:sz w:val="32"/>
          <w:szCs w:val="32"/>
          <w:shd w:val="clear" w:color="auto" w:fill="FFFFFF"/>
        </w:rPr>
      </w:pPr>
      <w:r>
        <w:rPr>
          <w:rFonts w:hint="default" w:ascii="Times New Roman" w:hAnsi="Times New Roman" w:eastAsia="方正仿宋_GBK" w:cs="Times New Roman"/>
          <w:sz w:val="32"/>
          <w:szCs w:val="32"/>
          <w:shd w:val="clear" w:color="auto" w:fill="FFFFFF"/>
        </w:rPr>
        <w:t>一般公共预算财政拨款支出主要用途为：</w:t>
      </w:r>
    </w:p>
    <w:p>
      <w:pPr>
        <w:pStyle w:val="6"/>
        <w:snapToGrid w:val="0"/>
        <w:spacing w:before="0" w:beforeAutospacing="0" w:after="0" w:afterAutospacing="0" w:line="596" w:lineRule="exact"/>
        <w:ind w:firstLine="640" w:firstLineChars="200"/>
        <w:jc w:val="both"/>
        <w:rPr>
          <w:rFonts w:hint="default" w:ascii="Times New Roman" w:hAnsi="Times New Roman" w:eastAsia="方正仿宋_GBK" w:cs="Times New Roman"/>
          <w:sz w:val="32"/>
          <w:szCs w:val="32"/>
          <w:shd w:val="clear" w:color="auto" w:fill="FFFFFF"/>
        </w:rPr>
      </w:pPr>
      <w:r>
        <w:rPr>
          <w:rFonts w:hint="default" w:ascii="Times New Roman" w:hAnsi="Times New Roman" w:eastAsia="方正仿宋_GBK" w:cs="Times New Roman"/>
          <w:sz w:val="32"/>
          <w:szCs w:val="32"/>
          <w:shd w:val="clear" w:color="auto" w:fill="FFFFFF"/>
        </w:rPr>
        <w:t>一般公共服务支出1208.53万元，占比29.3%，完成年初预算数的148.56%，主要原因是机关运行费用增加。</w:t>
      </w:r>
    </w:p>
    <w:p>
      <w:pPr>
        <w:pStyle w:val="6"/>
        <w:snapToGrid w:val="0"/>
        <w:spacing w:before="0" w:beforeAutospacing="0" w:after="0" w:afterAutospacing="0" w:line="596" w:lineRule="exact"/>
        <w:ind w:firstLine="640" w:firstLineChars="200"/>
        <w:jc w:val="both"/>
        <w:rPr>
          <w:rFonts w:hint="default" w:ascii="Times New Roman" w:hAnsi="Times New Roman" w:eastAsia="方正仿宋_GBK" w:cs="Times New Roman"/>
          <w:sz w:val="32"/>
          <w:szCs w:val="32"/>
          <w:shd w:val="clear" w:color="auto" w:fill="FFFFFF"/>
        </w:rPr>
      </w:pPr>
      <w:r>
        <w:rPr>
          <w:rFonts w:hint="default" w:ascii="Times New Roman" w:hAnsi="Times New Roman" w:eastAsia="方正仿宋_GBK" w:cs="Times New Roman"/>
          <w:sz w:val="32"/>
          <w:szCs w:val="32"/>
          <w:shd w:val="clear" w:color="auto" w:fill="FFFFFF"/>
        </w:rPr>
        <w:t>文化旅游体育与传媒支出147.45万元，占比3.6%，完成年初预算数的110.15%，主要原因是开展羊肉文化节、推介会等宣传活动相关支出增加。</w:t>
      </w:r>
    </w:p>
    <w:p>
      <w:pPr>
        <w:pStyle w:val="6"/>
        <w:snapToGrid w:val="0"/>
        <w:spacing w:before="0" w:beforeAutospacing="0" w:after="0" w:afterAutospacing="0" w:line="596" w:lineRule="exact"/>
        <w:ind w:firstLine="640" w:firstLineChars="200"/>
        <w:jc w:val="both"/>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shd w:val="clear" w:color="auto" w:fill="FFFFFF"/>
        </w:rPr>
        <w:t>社会保障和就业支出549.98万元，占比13.3%，完成年初预算数的110.62%，主要原因是新招录事业单位人员４名，养老保险基数调标等导致。</w:t>
      </w:r>
    </w:p>
    <w:p>
      <w:pPr>
        <w:pStyle w:val="6"/>
        <w:snapToGrid w:val="0"/>
        <w:spacing w:before="0" w:beforeAutospacing="0" w:after="0" w:afterAutospacing="0" w:line="596" w:lineRule="exact"/>
        <w:ind w:firstLine="640" w:firstLineChars="200"/>
        <w:jc w:val="both"/>
        <w:rPr>
          <w:rFonts w:hint="default" w:ascii="Times New Roman" w:hAnsi="Times New Roman" w:eastAsia="方正仿宋_GBK" w:cs="Times New Roman"/>
          <w:sz w:val="32"/>
          <w:szCs w:val="32"/>
          <w:shd w:val="clear" w:color="auto" w:fill="FFFFFF"/>
        </w:rPr>
      </w:pPr>
      <w:r>
        <w:rPr>
          <w:rFonts w:hint="default" w:ascii="Times New Roman" w:hAnsi="Times New Roman" w:eastAsia="方正仿宋_GBK" w:cs="Times New Roman"/>
          <w:sz w:val="32"/>
          <w:szCs w:val="32"/>
          <w:shd w:val="clear" w:color="auto" w:fill="FFFFFF"/>
        </w:rPr>
        <w:t>卫生健康支出128.26万元，占比3.1%，完成年初预算数的103.34%，主要原因是新招录事业单位人员４名等导致。</w:t>
      </w:r>
    </w:p>
    <w:p>
      <w:pPr>
        <w:pStyle w:val="6"/>
        <w:snapToGrid w:val="0"/>
        <w:spacing w:before="0" w:beforeAutospacing="0" w:after="0" w:afterAutospacing="0" w:line="596" w:lineRule="exact"/>
        <w:ind w:firstLine="640" w:firstLineChars="200"/>
        <w:jc w:val="both"/>
        <w:rPr>
          <w:rFonts w:hint="default" w:ascii="Times New Roman" w:hAnsi="Times New Roman" w:eastAsia="方正仿宋_GBK" w:cs="Times New Roman"/>
          <w:sz w:val="32"/>
          <w:szCs w:val="32"/>
          <w:shd w:val="clear" w:color="auto" w:fill="FFFFFF"/>
        </w:rPr>
      </w:pPr>
      <w:r>
        <w:rPr>
          <w:rFonts w:hint="default" w:ascii="Times New Roman" w:hAnsi="Times New Roman" w:eastAsia="方正仿宋_GBK" w:cs="Times New Roman"/>
          <w:sz w:val="32"/>
          <w:szCs w:val="32"/>
          <w:shd w:val="clear" w:color="auto" w:fill="FFFFFF"/>
        </w:rPr>
        <w:t>节能环保支出237.04万元，占比5.8%，完成年初预算数的109.10%，主要原因是人居环境整治力度加大。</w:t>
      </w:r>
    </w:p>
    <w:p>
      <w:pPr>
        <w:pStyle w:val="6"/>
        <w:snapToGrid w:val="0"/>
        <w:spacing w:before="0" w:beforeAutospacing="0" w:after="0" w:afterAutospacing="0" w:line="596" w:lineRule="exact"/>
        <w:ind w:firstLine="640" w:firstLineChars="200"/>
        <w:jc w:val="both"/>
        <w:rPr>
          <w:rFonts w:hint="default" w:ascii="Times New Roman" w:hAnsi="Times New Roman" w:eastAsia="方正仿宋_GBK" w:cs="Times New Roman"/>
          <w:sz w:val="32"/>
          <w:szCs w:val="32"/>
          <w:shd w:val="clear" w:color="auto" w:fill="FFFFFF"/>
        </w:rPr>
      </w:pPr>
      <w:r>
        <w:rPr>
          <w:rFonts w:hint="default" w:ascii="Times New Roman" w:hAnsi="Times New Roman" w:eastAsia="方正仿宋_GBK" w:cs="Times New Roman"/>
          <w:sz w:val="32"/>
          <w:szCs w:val="32"/>
          <w:shd w:val="clear" w:color="auto" w:fill="FFFFFF"/>
        </w:rPr>
        <w:t>城乡社区支出200.17万元，占比4.9%，完成年初预算数的116.10%，主要原因是执法任务较重。</w:t>
      </w:r>
    </w:p>
    <w:p>
      <w:pPr>
        <w:pStyle w:val="6"/>
        <w:snapToGrid w:val="0"/>
        <w:spacing w:before="0" w:beforeAutospacing="0" w:after="0" w:afterAutospacing="0" w:line="596" w:lineRule="exact"/>
        <w:ind w:firstLine="640" w:firstLineChars="200"/>
        <w:jc w:val="both"/>
        <w:rPr>
          <w:rFonts w:hint="default" w:ascii="Times New Roman" w:hAnsi="Times New Roman" w:eastAsia="方正仿宋_GBK" w:cs="Times New Roman"/>
          <w:color w:val="FF0000"/>
          <w:sz w:val="32"/>
          <w:szCs w:val="32"/>
          <w:shd w:val="clear" w:color="auto" w:fill="FFFFFF"/>
        </w:rPr>
      </w:pPr>
      <w:r>
        <w:rPr>
          <w:rFonts w:hint="default" w:ascii="Times New Roman" w:hAnsi="Times New Roman" w:eastAsia="方正仿宋_GBK" w:cs="Times New Roman"/>
          <w:sz w:val="32"/>
          <w:szCs w:val="32"/>
          <w:shd w:val="clear" w:color="auto" w:fill="FFFFFF"/>
        </w:rPr>
        <w:t>农林水支出764.91万元，占比18.5%，完成年初预算数的90.06%，主要原因是森林防火、松材线虫除治工作任务较重。</w:t>
      </w:r>
    </w:p>
    <w:p>
      <w:pPr>
        <w:spacing w:line="596" w:lineRule="exact"/>
        <w:ind w:firstLine="640" w:firstLineChars="200"/>
        <w:jc w:val="both"/>
        <w:rPr>
          <w:rFonts w:hint="default" w:ascii="Times New Roman" w:hAnsi="Times New Roman" w:eastAsia="方正仿宋_GBK" w:cs="Times New Roman"/>
          <w:color w:val="FF0000"/>
          <w:sz w:val="32"/>
          <w:szCs w:val="32"/>
          <w:shd w:val="clear" w:color="auto" w:fill="FFFFFF"/>
        </w:rPr>
      </w:pPr>
      <w:r>
        <w:rPr>
          <w:rFonts w:hint="default" w:ascii="Times New Roman" w:hAnsi="Times New Roman" w:eastAsia="方正仿宋_GBK" w:cs="Times New Roman"/>
          <w:sz w:val="32"/>
          <w:szCs w:val="32"/>
        </w:rPr>
        <w:t>住房保障支出</w:t>
      </w:r>
      <w:r>
        <w:rPr>
          <w:rFonts w:hint="default" w:ascii="Times New Roman" w:hAnsi="Times New Roman" w:eastAsia="方正仿宋_GBK" w:cs="Times New Roman"/>
          <w:sz w:val="32"/>
          <w:szCs w:val="32"/>
          <w:shd w:val="clear" w:color="auto" w:fill="FFFFFF"/>
        </w:rPr>
        <w:t>129.63万元，占比3.1%，完成年初预算数的100.00%，主要原因是支出与预算持平。</w:t>
      </w:r>
    </w:p>
    <w:p>
      <w:pPr>
        <w:pStyle w:val="10"/>
        <w:autoSpaceDE w:val="0"/>
        <w:spacing w:line="596" w:lineRule="exact"/>
        <w:ind w:firstLine="643"/>
        <w:rPr>
          <w:rFonts w:hint="default" w:ascii="方正楷体_GBK" w:hAnsi="方正楷体_GBK" w:eastAsia="方正楷体_GBK" w:cs="方正楷体_GBK"/>
          <w:b/>
          <w:bCs/>
          <w:sz w:val="32"/>
          <w:szCs w:val="32"/>
          <w:shd w:val="clear" w:color="auto" w:fill="FFFFFF"/>
          <w:lang w:val="en-US" w:eastAsia="zh-CN" w:bidi="ar-SA"/>
        </w:rPr>
      </w:pPr>
      <w:r>
        <w:rPr>
          <w:rFonts w:hint="default" w:ascii="方正楷体_GBK" w:hAnsi="方正楷体_GBK" w:eastAsia="方正楷体_GBK" w:cs="方正楷体_GBK"/>
          <w:b/>
          <w:bCs/>
          <w:sz w:val="32"/>
          <w:szCs w:val="32"/>
          <w:shd w:val="clear" w:color="auto" w:fill="FFFFFF"/>
          <w:lang w:val="en-US" w:eastAsia="zh-CN" w:bidi="ar-SA"/>
        </w:rPr>
        <w:t>（二）基本支出决算情况说明</w:t>
      </w:r>
    </w:p>
    <w:p>
      <w:pPr>
        <w:pStyle w:val="6"/>
        <w:snapToGrid w:val="0"/>
        <w:spacing w:before="0" w:beforeAutospacing="0" w:after="0" w:afterAutospacing="0" w:line="596" w:lineRule="exact"/>
        <w:ind w:firstLine="640" w:firstLineChars="200"/>
        <w:jc w:val="both"/>
        <w:rPr>
          <w:rFonts w:hint="default" w:ascii="Times New Roman" w:hAnsi="Times New Roman" w:eastAsia="方正仿宋_GBK" w:cs="Times New Roman"/>
          <w:sz w:val="32"/>
          <w:szCs w:val="32"/>
          <w:shd w:val="clear" w:color="auto" w:fill="FFFFFF"/>
        </w:rPr>
      </w:pPr>
      <w:r>
        <w:rPr>
          <w:rFonts w:hint="default" w:ascii="Times New Roman" w:hAnsi="Times New Roman" w:eastAsia="方正仿宋_GBK" w:cs="Times New Roman"/>
          <w:sz w:val="32"/>
          <w:szCs w:val="32"/>
          <w:shd w:val="clear" w:color="auto" w:fill="FFFFFF"/>
        </w:rPr>
        <w:t>2025年度一般公共预算财政拨款基本支出2727.76万元。</w:t>
      </w:r>
    </w:p>
    <w:p>
      <w:pPr>
        <w:pStyle w:val="6"/>
        <w:snapToGrid w:val="0"/>
        <w:spacing w:before="0" w:beforeAutospacing="0" w:after="0" w:afterAutospacing="0" w:line="596" w:lineRule="exact"/>
        <w:jc w:val="both"/>
        <w:rPr>
          <w:rFonts w:hint="default" w:ascii="Times New Roman" w:hAnsi="Times New Roman" w:eastAsia="方正仿宋_GBK" w:cs="Times New Roman"/>
          <w:sz w:val="32"/>
          <w:szCs w:val="32"/>
          <w:shd w:val="clear" w:color="auto" w:fill="FFFFFF"/>
        </w:rPr>
      </w:pPr>
      <w:r>
        <w:rPr>
          <w:rFonts w:hint="default" w:ascii="Times New Roman" w:hAnsi="Times New Roman" w:eastAsia="方正仿宋_GBK" w:cs="Times New Roman"/>
          <w:sz w:val="32"/>
          <w:szCs w:val="32"/>
          <w:shd w:val="clear" w:color="auto" w:fill="FFFFFF"/>
        </w:rPr>
        <w:t>其中：</w:t>
      </w:r>
    </w:p>
    <w:p>
      <w:pPr>
        <w:pStyle w:val="6"/>
        <w:snapToGrid w:val="0"/>
        <w:spacing w:before="0" w:beforeAutospacing="0" w:after="0" w:afterAutospacing="0" w:line="596" w:lineRule="exact"/>
        <w:ind w:firstLine="640" w:firstLineChars="200"/>
        <w:jc w:val="both"/>
        <w:rPr>
          <w:rFonts w:hint="default" w:ascii="Times New Roman" w:hAnsi="Times New Roman" w:eastAsia="方正仿宋_GBK" w:cs="Times New Roman"/>
          <w:sz w:val="32"/>
          <w:szCs w:val="32"/>
          <w:shd w:val="clear" w:color="auto" w:fill="FFFFFF"/>
        </w:rPr>
      </w:pPr>
      <w:r>
        <w:rPr>
          <w:rFonts w:hint="default" w:ascii="Times New Roman" w:hAnsi="Times New Roman" w:eastAsia="方正仿宋_GBK" w:cs="Times New Roman"/>
          <w:sz w:val="32"/>
          <w:szCs w:val="32"/>
          <w:shd w:val="clear" w:color="auto" w:fill="FFFFFF"/>
        </w:rPr>
        <w:t>人员经费2200.01万元，较上年减少40.23万元，下降1.80%，主要原因是厉行节约、缩减开支。完成年初预算数的107.33%，主要用于基本工资、津贴补贴、奖金、绩效工资、机关事业单位基本养老保险缴费、职业年金缴费、职工基本医疗保险缴费、其他社会保障缴费、住房公积金、医疗费、其他工资福利支出、生活补助、医疗费补助等项目。</w:t>
      </w:r>
    </w:p>
    <w:p>
      <w:pPr>
        <w:pStyle w:val="6"/>
        <w:snapToGrid w:val="0"/>
        <w:spacing w:before="0" w:beforeAutospacing="0" w:after="0" w:afterAutospacing="0" w:line="596" w:lineRule="exact"/>
        <w:ind w:firstLine="640" w:firstLineChars="200"/>
        <w:jc w:val="both"/>
        <w:rPr>
          <w:rFonts w:hint="default" w:ascii="Times New Roman" w:hAnsi="Times New Roman" w:eastAsia="方正仿宋_GBK" w:cs="Times New Roman"/>
          <w:color w:val="FF0000"/>
          <w:sz w:val="32"/>
          <w:szCs w:val="32"/>
          <w:shd w:val="clear" w:color="auto" w:fill="FFFFFF"/>
        </w:rPr>
      </w:pPr>
      <w:r>
        <w:rPr>
          <w:rFonts w:hint="default" w:ascii="Times New Roman" w:hAnsi="Times New Roman" w:eastAsia="方正仿宋_GBK" w:cs="Times New Roman"/>
          <w:sz w:val="32"/>
          <w:szCs w:val="32"/>
          <w:shd w:val="clear" w:color="auto" w:fill="FFFFFF"/>
        </w:rPr>
        <w:t>公用经费527.75万元，较上年增加337.33万元，增长177.15%，主要原因是相关工作任务加重，导致费用支出增加。完成年初预算数的174.86%，主要用于办公费、水费、电费、邮电费、差旅费、培训费、工会经费、公务用车运行维护费、其他交通费用、其他商品和服务支出等。</w:t>
      </w:r>
    </w:p>
    <w:p>
      <w:pPr>
        <w:pStyle w:val="6"/>
        <w:shd w:val="clear" w:color="auto" w:fill="FFFFFF"/>
        <w:spacing w:before="0" w:beforeAutospacing="0" w:after="0" w:afterAutospacing="0" w:line="596" w:lineRule="exact"/>
        <w:ind w:firstLine="640" w:firstLineChars="200"/>
        <w:rPr>
          <w:rStyle w:val="9"/>
          <w:rFonts w:hint="default" w:ascii="Times New Roman" w:hAnsi="Times New Roman" w:eastAsia="方正黑体_GBK" w:cs="Times New Roman"/>
          <w:b w:val="0"/>
          <w:bCs/>
          <w:sz w:val="32"/>
          <w:szCs w:val="32"/>
          <w:shd w:val="clear" w:color="auto" w:fill="FFFFFF"/>
        </w:rPr>
      </w:pPr>
      <w:r>
        <w:rPr>
          <w:rStyle w:val="9"/>
          <w:rFonts w:hint="default" w:ascii="Times New Roman" w:hAnsi="Times New Roman" w:eastAsia="方正黑体_GBK" w:cs="Times New Roman"/>
          <w:b w:val="0"/>
          <w:bCs/>
          <w:sz w:val="32"/>
          <w:szCs w:val="32"/>
          <w:shd w:val="clear" w:color="auto" w:fill="FFFFFF"/>
        </w:rPr>
        <w:t>四、政府性基金预算财政拨款收入支出决算情况说明</w:t>
      </w:r>
    </w:p>
    <w:p>
      <w:pPr>
        <w:pStyle w:val="6"/>
        <w:snapToGrid w:val="0"/>
        <w:spacing w:before="0" w:beforeAutospacing="0" w:after="0" w:afterAutospacing="0" w:line="596" w:lineRule="exact"/>
        <w:ind w:firstLine="640" w:firstLineChars="200"/>
        <w:jc w:val="both"/>
        <w:rPr>
          <w:rFonts w:hint="default" w:ascii="Times New Roman" w:hAnsi="Times New Roman" w:eastAsia="方正仿宋_GBK" w:cs="Times New Roman"/>
          <w:sz w:val="32"/>
          <w:szCs w:val="32"/>
          <w:shd w:val="clear" w:color="auto" w:fill="FFFFFF"/>
        </w:rPr>
      </w:pPr>
      <w:r>
        <w:rPr>
          <w:rFonts w:hint="default" w:ascii="Times New Roman" w:hAnsi="Times New Roman" w:eastAsia="方正仿宋_GBK" w:cs="Times New Roman"/>
          <w:sz w:val="32"/>
          <w:szCs w:val="32"/>
          <w:shd w:val="clear" w:color="auto" w:fill="FFFFFF"/>
        </w:rPr>
        <w:t>2025年度政府性基金预算财政拨款年初结转结余0.00万元，本年收入4.00万元，本年支出4.00万元，年末结转结余0.00万元。本年支出较上年增加4.00万元，增长100.00%，主要原因是本年度新增政府性基金预算财政拨款收入。完成年初预算数的100.00%，主要原因是支出与预算持平，对政府性基金预算财政拨款完成了支付。</w:t>
      </w:r>
    </w:p>
    <w:p>
      <w:pPr>
        <w:pStyle w:val="6"/>
        <w:shd w:val="clear" w:color="auto" w:fill="FFFFFF"/>
        <w:spacing w:before="0" w:beforeAutospacing="0" w:after="0" w:afterAutospacing="0" w:line="596" w:lineRule="exact"/>
        <w:ind w:firstLine="640" w:firstLineChars="200"/>
        <w:rPr>
          <w:rStyle w:val="9"/>
          <w:rFonts w:hint="default" w:ascii="Times New Roman" w:hAnsi="Times New Roman" w:eastAsia="方正黑体_GBK" w:cs="Times New Roman"/>
          <w:b w:val="0"/>
          <w:bCs/>
          <w:sz w:val="32"/>
          <w:szCs w:val="32"/>
          <w:shd w:val="clear" w:color="auto" w:fill="FFFFFF"/>
        </w:rPr>
      </w:pPr>
      <w:r>
        <w:rPr>
          <w:rStyle w:val="9"/>
          <w:rFonts w:hint="default" w:ascii="Times New Roman" w:hAnsi="Times New Roman" w:eastAsia="方正黑体_GBK" w:cs="Times New Roman"/>
          <w:b w:val="0"/>
          <w:bCs/>
          <w:sz w:val="32"/>
          <w:szCs w:val="32"/>
          <w:shd w:val="clear" w:color="auto" w:fill="FFFFFF"/>
        </w:rPr>
        <w:t>五、国有资本经营预算财政拨款收入支出决算情况说明</w:t>
      </w:r>
    </w:p>
    <w:p>
      <w:pPr>
        <w:pStyle w:val="6"/>
        <w:snapToGrid w:val="0"/>
        <w:spacing w:before="0" w:beforeAutospacing="0" w:after="0" w:afterAutospacing="0" w:line="596" w:lineRule="exact"/>
        <w:ind w:firstLine="640" w:firstLineChars="200"/>
        <w:jc w:val="both"/>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shd w:val="clear" w:color="auto" w:fill="FFFFFF"/>
        </w:rPr>
        <w:t>本单位2025年度无国有资本经营预算财政拨款支出。</w:t>
      </w:r>
    </w:p>
    <w:p>
      <w:pPr>
        <w:pStyle w:val="6"/>
        <w:shd w:val="clear" w:color="auto" w:fill="FFFFFF"/>
        <w:spacing w:before="0" w:beforeAutospacing="0" w:after="0" w:afterAutospacing="0" w:line="596" w:lineRule="exact"/>
        <w:ind w:firstLine="640" w:firstLineChars="200"/>
        <w:rPr>
          <w:rStyle w:val="9"/>
          <w:rFonts w:hint="default" w:ascii="Times New Roman" w:hAnsi="Times New Roman" w:eastAsia="方正黑体_GBK" w:cs="Times New Roman"/>
          <w:b w:val="0"/>
          <w:bCs/>
          <w:sz w:val="32"/>
          <w:szCs w:val="32"/>
          <w:shd w:val="clear" w:color="auto" w:fill="FFFFFF"/>
        </w:rPr>
      </w:pPr>
      <w:r>
        <w:rPr>
          <w:rStyle w:val="9"/>
          <w:rFonts w:hint="default" w:ascii="Times New Roman" w:hAnsi="Times New Roman" w:eastAsia="方正黑体_GBK" w:cs="Times New Roman"/>
          <w:b w:val="0"/>
          <w:bCs/>
          <w:sz w:val="32"/>
          <w:szCs w:val="32"/>
          <w:shd w:val="clear" w:color="auto" w:fill="FFFFFF"/>
        </w:rPr>
        <w:t>六、财政拨款“三公”经费情况说明</w:t>
      </w:r>
    </w:p>
    <w:p>
      <w:pPr>
        <w:pStyle w:val="10"/>
        <w:autoSpaceDE w:val="0"/>
        <w:spacing w:line="596" w:lineRule="exact"/>
        <w:ind w:firstLine="643"/>
        <w:rPr>
          <w:rFonts w:hint="default" w:ascii="方正楷体_GBK" w:hAnsi="方正楷体_GBK" w:eastAsia="方正楷体_GBK" w:cs="方正楷体_GBK"/>
          <w:b/>
          <w:bCs/>
          <w:sz w:val="32"/>
          <w:szCs w:val="32"/>
          <w:shd w:val="clear" w:color="auto" w:fill="FFFFFF"/>
          <w:lang w:val="en-US" w:eastAsia="zh-CN" w:bidi="ar-SA"/>
        </w:rPr>
      </w:pPr>
      <w:r>
        <w:rPr>
          <w:rFonts w:hint="default" w:ascii="方正楷体_GBK" w:hAnsi="方正楷体_GBK" w:eastAsia="方正楷体_GBK" w:cs="方正楷体_GBK"/>
          <w:b/>
          <w:bCs/>
          <w:sz w:val="32"/>
          <w:szCs w:val="32"/>
          <w:shd w:val="clear" w:color="auto" w:fill="FFFFFF"/>
          <w:lang w:val="en-US" w:eastAsia="zh-CN" w:bidi="ar-SA"/>
        </w:rPr>
        <w:t>（一）情况说明</w:t>
      </w:r>
    </w:p>
    <w:p>
      <w:pPr>
        <w:pStyle w:val="6"/>
        <w:snapToGrid w:val="0"/>
        <w:spacing w:before="0" w:beforeAutospacing="0" w:after="0" w:afterAutospacing="0" w:line="596" w:lineRule="exact"/>
        <w:ind w:firstLine="640" w:firstLineChars="200"/>
        <w:jc w:val="both"/>
        <w:rPr>
          <w:rFonts w:hint="default" w:ascii="Times New Roman" w:hAnsi="Times New Roman" w:eastAsia="方正仿宋_GBK" w:cs="Times New Roman"/>
          <w:color w:val="FF0000"/>
          <w:sz w:val="32"/>
          <w:szCs w:val="32"/>
          <w:shd w:val="clear" w:color="auto" w:fill="FFFFFF"/>
        </w:rPr>
      </w:pPr>
      <w:r>
        <w:rPr>
          <w:rFonts w:hint="default" w:ascii="Times New Roman" w:hAnsi="Times New Roman" w:eastAsia="方正仿宋_GBK" w:cs="Times New Roman"/>
          <w:sz w:val="32"/>
          <w:szCs w:val="32"/>
          <w:shd w:val="clear" w:color="auto" w:fill="FFFFFF"/>
        </w:rPr>
        <w:t>2025年度“三公”经费支出决算数共计15.95万元。完成年初预算数的44.80%，主要原因是厉行节约、节省开支。较上年支出数增加9.02万元，增长130.16%，主要原因是公务用车年久，公车运行费用增加。</w:t>
      </w:r>
    </w:p>
    <w:p>
      <w:pPr>
        <w:pStyle w:val="10"/>
        <w:autoSpaceDE w:val="0"/>
        <w:spacing w:line="596" w:lineRule="exact"/>
        <w:ind w:firstLine="643"/>
        <w:rPr>
          <w:rFonts w:hint="default" w:ascii="方正楷体_GBK" w:hAnsi="方正楷体_GBK" w:eastAsia="方正楷体_GBK" w:cs="方正楷体_GBK"/>
          <w:b/>
          <w:bCs/>
          <w:sz w:val="32"/>
          <w:szCs w:val="32"/>
          <w:shd w:val="clear" w:color="auto" w:fill="FFFFFF"/>
          <w:lang w:val="en-US" w:eastAsia="zh-CN" w:bidi="ar-SA"/>
        </w:rPr>
      </w:pPr>
      <w:r>
        <w:rPr>
          <w:rFonts w:hint="default" w:ascii="方正楷体_GBK" w:hAnsi="方正楷体_GBK" w:eastAsia="方正楷体_GBK" w:cs="方正楷体_GBK"/>
          <w:b/>
          <w:bCs/>
          <w:sz w:val="32"/>
          <w:szCs w:val="32"/>
          <w:shd w:val="clear" w:color="auto" w:fill="FFFFFF"/>
          <w:lang w:val="en-US" w:eastAsia="zh-CN" w:bidi="ar-SA"/>
        </w:rPr>
        <w:t>（二）具体支出情况</w:t>
      </w:r>
    </w:p>
    <w:p>
      <w:pPr>
        <w:pStyle w:val="6"/>
        <w:snapToGrid w:val="0"/>
        <w:spacing w:before="0" w:beforeAutospacing="0" w:after="0" w:afterAutospacing="0" w:line="596" w:lineRule="exact"/>
        <w:ind w:firstLine="640" w:firstLineChars="200"/>
        <w:jc w:val="both"/>
        <w:rPr>
          <w:rFonts w:hint="default" w:ascii="Times New Roman" w:hAnsi="Times New Roman" w:eastAsia="方正仿宋_GBK" w:cs="Times New Roman"/>
          <w:sz w:val="32"/>
          <w:szCs w:val="32"/>
          <w:shd w:val="clear" w:color="auto" w:fill="FFFFFF"/>
        </w:rPr>
      </w:pPr>
      <w:r>
        <w:rPr>
          <w:rFonts w:hint="default" w:ascii="Times New Roman" w:hAnsi="Times New Roman" w:eastAsia="方正仿宋_GBK" w:cs="Times New Roman"/>
          <w:sz w:val="32"/>
          <w:szCs w:val="32"/>
          <w:shd w:val="clear" w:color="auto" w:fill="FFFFFF"/>
        </w:rPr>
        <w:t>2025年本单位无因公出国（境）费用发生。</w:t>
      </w:r>
    </w:p>
    <w:p>
      <w:pPr>
        <w:pStyle w:val="6"/>
        <w:snapToGrid w:val="0"/>
        <w:spacing w:before="0" w:beforeAutospacing="0" w:after="0" w:afterAutospacing="0" w:line="596" w:lineRule="exact"/>
        <w:ind w:firstLine="640" w:firstLineChars="200"/>
        <w:jc w:val="both"/>
        <w:rPr>
          <w:rFonts w:hint="default" w:ascii="Times New Roman" w:hAnsi="Times New Roman" w:eastAsia="方正仿宋_GBK" w:cs="Times New Roman"/>
          <w:sz w:val="32"/>
          <w:szCs w:val="32"/>
          <w:shd w:val="clear" w:color="auto" w:fill="FFFFFF"/>
        </w:rPr>
      </w:pPr>
      <w:r>
        <w:rPr>
          <w:rFonts w:hint="default" w:ascii="Times New Roman" w:hAnsi="Times New Roman" w:eastAsia="方正仿宋_GBK" w:cs="Times New Roman"/>
          <w:sz w:val="32"/>
          <w:szCs w:val="32"/>
          <w:shd w:val="clear" w:color="auto" w:fill="FFFFFF"/>
        </w:rPr>
        <w:t>2025年本单位未购置公务用车。</w:t>
      </w:r>
    </w:p>
    <w:p>
      <w:pPr>
        <w:pStyle w:val="6"/>
        <w:snapToGrid w:val="0"/>
        <w:spacing w:before="0" w:beforeAutospacing="0" w:after="0" w:afterAutospacing="0" w:line="596" w:lineRule="exact"/>
        <w:ind w:firstLine="640" w:firstLineChars="200"/>
        <w:jc w:val="both"/>
        <w:rPr>
          <w:rFonts w:hint="default" w:ascii="Times New Roman" w:hAnsi="Times New Roman" w:eastAsia="方正仿宋_GBK" w:cs="Times New Roman"/>
          <w:sz w:val="32"/>
          <w:szCs w:val="32"/>
          <w:shd w:val="clear" w:color="auto" w:fill="FFFFFF"/>
        </w:rPr>
      </w:pPr>
      <w:r>
        <w:rPr>
          <w:rFonts w:hint="default" w:ascii="Times New Roman" w:hAnsi="Times New Roman" w:eastAsia="方正仿宋_GBK" w:cs="Times New Roman"/>
          <w:sz w:val="32"/>
          <w:szCs w:val="32"/>
          <w:shd w:val="clear" w:color="auto" w:fill="FFFFFF"/>
        </w:rPr>
        <w:t>2025年本单位公务用车运行维护费15.95万元，较上年增加9.02万元，增长130.16%； 完成年初预算数的49.84%，主要用于公务公车运行维护。</w:t>
      </w:r>
    </w:p>
    <w:p>
      <w:pPr>
        <w:pStyle w:val="6"/>
        <w:snapToGrid w:val="0"/>
        <w:spacing w:before="0" w:beforeAutospacing="0" w:after="0" w:afterAutospacing="0" w:line="596" w:lineRule="exact"/>
        <w:ind w:firstLine="640" w:firstLineChars="200"/>
        <w:jc w:val="both"/>
        <w:rPr>
          <w:rFonts w:hint="default" w:ascii="Times New Roman" w:hAnsi="Times New Roman" w:eastAsia="方正仿宋_GBK" w:cs="Times New Roman"/>
          <w:color w:val="FF0000"/>
          <w:sz w:val="32"/>
          <w:szCs w:val="32"/>
          <w:shd w:val="clear" w:color="auto" w:fill="FFFFFF"/>
        </w:rPr>
      </w:pPr>
      <w:r>
        <w:rPr>
          <w:rFonts w:hint="default" w:ascii="Times New Roman" w:hAnsi="Times New Roman" w:eastAsia="方正仿宋_GBK" w:cs="Times New Roman"/>
          <w:sz w:val="32"/>
          <w:szCs w:val="32"/>
          <w:shd w:val="clear" w:color="auto" w:fill="FFFFFF"/>
        </w:rPr>
        <w:t>2025年本单位未发生公务接待费。</w:t>
      </w:r>
    </w:p>
    <w:p>
      <w:pPr>
        <w:pStyle w:val="10"/>
        <w:autoSpaceDE w:val="0"/>
        <w:spacing w:line="596" w:lineRule="exact"/>
        <w:ind w:firstLine="643"/>
        <w:rPr>
          <w:rFonts w:hint="default" w:ascii="方正楷体_GBK" w:hAnsi="方正楷体_GBK" w:eastAsia="方正楷体_GBK" w:cs="方正楷体_GBK"/>
          <w:b/>
          <w:bCs/>
          <w:sz w:val="32"/>
          <w:szCs w:val="32"/>
          <w:shd w:val="clear" w:color="auto" w:fill="FFFFFF"/>
          <w:lang w:val="en-US" w:eastAsia="zh-CN" w:bidi="ar-SA"/>
        </w:rPr>
      </w:pPr>
      <w:r>
        <w:rPr>
          <w:rFonts w:hint="default" w:ascii="方正楷体_GBK" w:hAnsi="方正楷体_GBK" w:eastAsia="方正楷体_GBK" w:cs="方正楷体_GBK"/>
          <w:b/>
          <w:bCs/>
          <w:sz w:val="32"/>
          <w:szCs w:val="32"/>
          <w:shd w:val="clear" w:color="auto" w:fill="FFFFFF"/>
          <w:lang w:val="en-US" w:eastAsia="zh-CN" w:bidi="ar-SA"/>
        </w:rPr>
        <w:t>（三）“三公”经费实物量情况</w:t>
      </w:r>
    </w:p>
    <w:p>
      <w:pPr>
        <w:pStyle w:val="6"/>
        <w:snapToGrid w:val="0"/>
        <w:spacing w:before="0" w:beforeAutospacing="0" w:after="0" w:afterAutospacing="0" w:line="596" w:lineRule="exact"/>
        <w:ind w:firstLine="640" w:firstLineChars="200"/>
        <w:jc w:val="both"/>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shd w:val="clear" w:color="auto" w:fill="FFFFFF"/>
        </w:rPr>
        <w:t>2025年度本单位因公出国（境）共计0个团组，0人；公务用车购置0辆，公务车保有量为8辆；国内公务接待0批次0人，其中：国内外事接待0批次，0人；国（境）外公务接待0批次，0人。2025年本单位人均接待费0元，车均购置费0万元，车均维护费1.99万元。</w:t>
      </w:r>
    </w:p>
    <w:p>
      <w:pPr>
        <w:pStyle w:val="6"/>
        <w:shd w:val="clear" w:color="auto" w:fill="FFFFFF"/>
        <w:spacing w:before="0" w:beforeAutospacing="0" w:after="0" w:afterAutospacing="0" w:line="596" w:lineRule="exact"/>
        <w:ind w:firstLine="640" w:firstLineChars="200"/>
        <w:rPr>
          <w:rStyle w:val="9"/>
          <w:rFonts w:hint="default" w:ascii="Times New Roman" w:hAnsi="Times New Roman" w:eastAsia="方正黑体_GBK" w:cs="Times New Roman"/>
          <w:b w:val="0"/>
          <w:bCs/>
          <w:sz w:val="32"/>
          <w:szCs w:val="32"/>
          <w:shd w:val="clear" w:color="auto" w:fill="FFFFFF"/>
        </w:rPr>
      </w:pPr>
      <w:r>
        <w:rPr>
          <w:rStyle w:val="9"/>
          <w:rFonts w:hint="default" w:ascii="Times New Roman" w:hAnsi="Times New Roman" w:eastAsia="方正黑体_GBK" w:cs="Times New Roman"/>
          <w:b w:val="0"/>
          <w:bCs/>
          <w:sz w:val="32"/>
          <w:szCs w:val="32"/>
          <w:shd w:val="clear" w:color="auto" w:fill="FFFFFF"/>
        </w:rPr>
        <w:t>七、其他需要说明的事项</w:t>
      </w:r>
    </w:p>
    <w:p>
      <w:pPr>
        <w:pStyle w:val="6"/>
        <w:shd w:val="clear" w:color="auto" w:fill="FFFFFF"/>
        <w:spacing w:before="0" w:beforeAutospacing="0" w:after="0" w:afterAutospacing="0" w:line="596" w:lineRule="exact"/>
        <w:ind w:firstLine="642" w:firstLineChars="200"/>
        <w:jc w:val="both"/>
        <w:rPr>
          <w:rFonts w:hint="default" w:ascii="方正楷体_GBK" w:hAnsi="方正楷体_GBK" w:eastAsia="方正楷体_GBK" w:cs="方正楷体_GBK"/>
          <w:b/>
          <w:bCs/>
          <w:sz w:val="32"/>
          <w:szCs w:val="32"/>
          <w:shd w:val="clear" w:color="auto" w:fill="FFFFFF"/>
        </w:rPr>
      </w:pPr>
      <w:r>
        <w:rPr>
          <w:rFonts w:hint="default" w:ascii="方正楷体_GBK" w:hAnsi="方正楷体_GBK" w:eastAsia="方正楷体_GBK" w:cs="方正楷体_GBK"/>
          <w:b/>
          <w:bCs/>
          <w:sz w:val="32"/>
          <w:szCs w:val="32"/>
          <w:shd w:val="clear" w:color="auto" w:fill="FFFFFF"/>
        </w:rPr>
        <w:t>（一）财政拨款会议费、培训费和差旅费情况说明</w:t>
      </w:r>
    </w:p>
    <w:p>
      <w:pPr>
        <w:pStyle w:val="6"/>
        <w:snapToGrid w:val="0"/>
        <w:spacing w:before="0" w:beforeAutospacing="0" w:after="0" w:afterAutospacing="0" w:line="596" w:lineRule="exact"/>
        <w:ind w:firstLine="640" w:firstLineChars="200"/>
        <w:jc w:val="both"/>
        <w:rPr>
          <w:rFonts w:hint="default" w:ascii="Times New Roman" w:hAnsi="Times New Roman" w:eastAsia="方正仿宋_GBK" w:cs="Times New Roman"/>
          <w:sz w:val="32"/>
          <w:szCs w:val="32"/>
          <w:shd w:val="clear" w:color="auto" w:fill="FFFFFF"/>
        </w:rPr>
      </w:pPr>
      <w:r>
        <w:rPr>
          <w:rFonts w:hint="default" w:ascii="Times New Roman" w:hAnsi="Times New Roman" w:eastAsia="方正仿宋_GBK" w:cs="Times New Roman"/>
          <w:sz w:val="32"/>
          <w:szCs w:val="32"/>
          <w:shd w:val="clear" w:color="auto" w:fill="FFFFFF"/>
        </w:rPr>
        <w:t>2025年本单位无会议费支出。</w:t>
      </w:r>
    </w:p>
    <w:p>
      <w:pPr>
        <w:pStyle w:val="6"/>
        <w:snapToGrid w:val="0"/>
        <w:spacing w:before="0" w:beforeAutospacing="0" w:after="0" w:afterAutospacing="0" w:line="596" w:lineRule="exact"/>
        <w:ind w:firstLine="640" w:firstLineChars="200"/>
        <w:jc w:val="both"/>
        <w:rPr>
          <w:rFonts w:hint="default" w:ascii="Times New Roman" w:hAnsi="Times New Roman" w:eastAsia="方正仿宋_GBK" w:cs="Times New Roman"/>
          <w:sz w:val="32"/>
          <w:szCs w:val="32"/>
          <w:shd w:val="clear" w:color="auto" w:fill="FFFFFF"/>
        </w:rPr>
      </w:pPr>
      <w:r>
        <w:rPr>
          <w:rFonts w:hint="default" w:ascii="Times New Roman" w:hAnsi="Times New Roman" w:eastAsia="方正仿宋_GBK" w:cs="Times New Roman"/>
          <w:sz w:val="32"/>
          <w:szCs w:val="32"/>
          <w:shd w:val="clear" w:color="auto" w:fill="FFFFFF"/>
        </w:rPr>
        <w:t>2025年本单位培训费支出0.77万元，较上年增加0.77万元，增长100%，主要原因是干部参加区级培训费用在培训费用中列支。</w:t>
      </w:r>
    </w:p>
    <w:p>
      <w:pPr>
        <w:pStyle w:val="6"/>
        <w:snapToGrid w:val="0"/>
        <w:spacing w:before="0" w:beforeAutospacing="0" w:after="0" w:afterAutospacing="0" w:line="596" w:lineRule="exact"/>
        <w:ind w:firstLine="640" w:firstLineChars="200"/>
        <w:jc w:val="both"/>
        <w:rPr>
          <w:rFonts w:hint="default" w:ascii="Times New Roman" w:hAnsi="Times New Roman" w:eastAsia="方正仿宋_GBK" w:cs="Times New Roman"/>
          <w:sz w:val="32"/>
          <w:szCs w:val="32"/>
          <w:highlight w:val="yellow"/>
        </w:rPr>
      </w:pPr>
      <w:r>
        <w:rPr>
          <w:rFonts w:hint="default" w:ascii="Times New Roman" w:hAnsi="Times New Roman" w:eastAsia="方正仿宋_GBK" w:cs="Times New Roman"/>
          <w:sz w:val="32"/>
          <w:szCs w:val="32"/>
          <w:shd w:val="clear" w:color="auto" w:fill="FFFFFF"/>
        </w:rPr>
        <w:t>2025年本单位差旅费支出51.91</w:t>
      </w:r>
      <w:r>
        <w:rPr>
          <w:rFonts w:hint="default" w:ascii="Times New Roman" w:hAnsi="Times New Roman" w:eastAsia="方正仿宋_GBK" w:cs="Times New Roman"/>
          <w:sz w:val="32"/>
          <w:szCs w:val="32"/>
        </w:rPr>
        <w:t>万元，</w:t>
      </w:r>
      <w:r>
        <w:rPr>
          <w:rFonts w:hint="default" w:ascii="Times New Roman" w:hAnsi="Times New Roman" w:eastAsia="方正仿宋_GBK" w:cs="Times New Roman"/>
          <w:sz w:val="32"/>
          <w:szCs w:val="32"/>
          <w:shd w:val="clear" w:color="auto" w:fill="FFFFFF"/>
        </w:rPr>
        <w:t>较上年增加51.91万元，增长100.00%，主要原因是根据列支口径，差旅费进行单独列支。</w:t>
      </w:r>
    </w:p>
    <w:p>
      <w:pPr>
        <w:pStyle w:val="10"/>
        <w:autoSpaceDE w:val="0"/>
        <w:spacing w:line="596" w:lineRule="exact"/>
        <w:ind w:firstLine="643"/>
        <w:rPr>
          <w:rFonts w:hint="default" w:ascii="方正楷体_GBK" w:hAnsi="方正楷体_GBK" w:eastAsia="方正楷体_GBK" w:cs="方正楷体_GBK"/>
          <w:b/>
          <w:bCs/>
          <w:sz w:val="32"/>
          <w:szCs w:val="32"/>
          <w:shd w:val="clear" w:color="auto" w:fill="FFFFFF"/>
          <w:lang w:val="en-US" w:eastAsia="zh-CN" w:bidi="ar-SA"/>
        </w:rPr>
      </w:pPr>
      <w:r>
        <w:rPr>
          <w:rFonts w:hint="default" w:ascii="方正楷体_GBK" w:hAnsi="方正楷体_GBK" w:eastAsia="方正楷体_GBK" w:cs="方正楷体_GBK"/>
          <w:b/>
          <w:bCs/>
          <w:sz w:val="32"/>
          <w:szCs w:val="32"/>
          <w:shd w:val="clear" w:color="auto" w:fill="FFFFFF"/>
          <w:lang w:val="en-US" w:eastAsia="zh-CN" w:bidi="ar-SA"/>
        </w:rPr>
        <w:t>（二）机关运行经费情况说明</w:t>
      </w:r>
    </w:p>
    <w:p>
      <w:pPr>
        <w:pStyle w:val="6"/>
        <w:snapToGrid w:val="0"/>
        <w:spacing w:before="0" w:beforeAutospacing="0" w:after="0" w:afterAutospacing="0" w:line="596" w:lineRule="exact"/>
        <w:ind w:firstLine="640" w:firstLineChars="200"/>
        <w:jc w:val="both"/>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shd w:val="clear" w:color="auto" w:fill="FFFFFF"/>
        </w:rPr>
        <w:t>2025年度本单位机关运行经费支出425.48万元，机关运行经费主要用于开支机关和事业单位的运行费用支出。机关运行经费较上年支出数增加336.14万元，增长376.25%，主要原因是人员增加、行政执法、森林防火、松材线虫除治、人居环境整治、环保等工作任务较重，相关费用支出增加。</w:t>
      </w:r>
    </w:p>
    <w:p>
      <w:pPr>
        <w:pStyle w:val="10"/>
        <w:autoSpaceDE w:val="0"/>
        <w:spacing w:line="596" w:lineRule="exact"/>
        <w:ind w:firstLine="643"/>
        <w:rPr>
          <w:rFonts w:hint="default" w:ascii="方正楷体_GBK" w:hAnsi="方正楷体_GBK" w:eastAsia="方正楷体_GBK" w:cs="方正楷体_GBK"/>
          <w:b/>
          <w:bCs/>
          <w:sz w:val="32"/>
          <w:szCs w:val="32"/>
          <w:shd w:val="clear" w:color="auto" w:fill="FFFFFF"/>
          <w:lang w:val="en-US" w:eastAsia="zh-CN" w:bidi="ar-SA"/>
        </w:rPr>
      </w:pPr>
      <w:r>
        <w:rPr>
          <w:rFonts w:hint="default" w:ascii="方正楷体_GBK" w:hAnsi="方正楷体_GBK" w:eastAsia="方正楷体_GBK" w:cs="方正楷体_GBK"/>
          <w:b/>
          <w:bCs/>
          <w:sz w:val="32"/>
          <w:szCs w:val="32"/>
          <w:shd w:val="clear" w:color="auto" w:fill="FFFFFF"/>
          <w:lang w:val="en-US" w:eastAsia="zh-CN" w:bidi="ar-SA"/>
        </w:rPr>
        <w:t>（三）国有资产占用情况说明</w:t>
      </w:r>
    </w:p>
    <w:p>
      <w:pPr>
        <w:pStyle w:val="6"/>
        <w:snapToGrid w:val="0"/>
        <w:spacing w:before="0" w:beforeAutospacing="0" w:after="0" w:afterAutospacing="0" w:line="596" w:lineRule="exact"/>
        <w:ind w:firstLine="640" w:firstLineChars="200"/>
        <w:jc w:val="both"/>
        <w:rPr>
          <w:rFonts w:hint="default" w:ascii="Times New Roman" w:hAnsi="Times New Roman" w:eastAsia="方正仿宋_GBK" w:cs="Times New Roman"/>
          <w:sz w:val="32"/>
          <w:szCs w:val="32"/>
          <w:shd w:val="clear" w:color="auto" w:fill="FFFFFF"/>
        </w:rPr>
      </w:pPr>
      <w:r>
        <w:rPr>
          <w:rFonts w:hint="default" w:ascii="Times New Roman" w:hAnsi="Times New Roman" w:eastAsia="方正仿宋_GBK" w:cs="Times New Roman"/>
          <w:sz w:val="32"/>
          <w:szCs w:val="32"/>
          <w:shd w:val="clear" w:color="auto" w:fill="FFFFFF"/>
        </w:rPr>
        <w:t>截至2025年12月31日，本单位共有车辆13辆，其中，副部（省）级及以上领导用车0辆、主要负责人用车0辆、机要通信用车0辆、应急保障用车13辆、执法执勤用车0辆，特种专业技术用车0辆，离退休干部用车0辆。</w:t>
      </w:r>
    </w:p>
    <w:p>
      <w:pPr>
        <w:pStyle w:val="6"/>
        <w:snapToGrid w:val="0"/>
        <w:spacing w:before="0" w:beforeAutospacing="0" w:after="0" w:afterAutospacing="0" w:line="596" w:lineRule="exact"/>
        <w:ind w:firstLine="640" w:firstLineChars="200"/>
        <w:jc w:val="both"/>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shd w:val="clear" w:color="auto" w:fill="FFFFFF"/>
        </w:rPr>
        <w:t>单价100万元（含）以上专用设备0台（套）。</w:t>
      </w:r>
    </w:p>
    <w:p>
      <w:pPr>
        <w:pStyle w:val="10"/>
        <w:autoSpaceDE w:val="0"/>
        <w:spacing w:line="596" w:lineRule="exact"/>
        <w:ind w:firstLine="643"/>
        <w:rPr>
          <w:rFonts w:hint="default" w:ascii="方正楷体_GBK" w:hAnsi="方正楷体_GBK" w:eastAsia="方正楷体_GBK" w:cs="方正楷体_GBK"/>
          <w:b/>
          <w:bCs/>
          <w:sz w:val="32"/>
          <w:szCs w:val="32"/>
          <w:shd w:val="clear" w:color="auto" w:fill="FFFFFF"/>
          <w:lang w:val="en-US" w:eastAsia="zh-CN" w:bidi="ar-SA"/>
        </w:rPr>
      </w:pPr>
      <w:r>
        <w:rPr>
          <w:rFonts w:hint="default" w:ascii="方正楷体_GBK" w:hAnsi="方正楷体_GBK" w:eastAsia="方正楷体_GBK" w:cs="方正楷体_GBK"/>
          <w:b/>
          <w:bCs/>
          <w:sz w:val="32"/>
          <w:szCs w:val="32"/>
          <w:shd w:val="clear" w:color="auto" w:fill="FFFFFF"/>
          <w:lang w:val="en-US" w:eastAsia="zh-CN" w:bidi="ar-SA"/>
        </w:rPr>
        <w:t>（四）政府采购支出情况说明</w:t>
      </w:r>
    </w:p>
    <w:p>
      <w:pPr>
        <w:pStyle w:val="6"/>
        <w:snapToGrid w:val="0"/>
        <w:spacing w:before="0" w:beforeAutospacing="0" w:after="0" w:afterAutospacing="0" w:line="596" w:lineRule="exact"/>
        <w:ind w:firstLine="640" w:firstLineChars="200"/>
        <w:jc w:val="both"/>
        <w:rPr>
          <w:rFonts w:hint="default" w:ascii="Times New Roman" w:hAnsi="Times New Roman" w:eastAsia="方正仿宋_GBK" w:cs="Times New Roman"/>
          <w:b/>
          <w:bCs/>
          <w:sz w:val="32"/>
          <w:szCs w:val="32"/>
          <w:highlight w:val="yellow"/>
          <w:shd w:val="clear" w:color="auto" w:fill="FFFFFF"/>
        </w:rPr>
      </w:pPr>
      <w:r>
        <w:rPr>
          <w:rFonts w:hint="default" w:ascii="Times New Roman" w:hAnsi="Times New Roman" w:eastAsia="方正仿宋_GBK" w:cs="Times New Roman"/>
          <w:sz w:val="32"/>
          <w:szCs w:val="32"/>
          <w:shd w:val="clear" w:color="auto" w:fill="FFFFFF"/>
        </w:rPr>
        <w:t>2025年度本单位政府采购支出总额991.02万元，其中：政府采购货物支出0.00万元，政府采购工程支出991.02万元，政府采购服务支出0.00万元。授予中小企业合同金额991.02</w:t>
      </w:r>
      <w:r>
        <w:rPr>
          <w:rFonts w:hint="default" w:ascii="Times New Roman" w:hAnsi="Times New Roman" w:eastAsia="方正仿宋_GBK" w:cs="Times New Roman"/>
          <w:sz w:val="32"/>
          <w:szCs w:val="32"/>
        </w:rPr>
        <w:t>万</w:t>
      </w:r>
      <w:r>
        <w:rPr>
          <w:rFonts w:hint="default" w:ascii="Times New Roman" w:hAnsi="Times New Roman" w:eastAsia="方正仿宋_GBK" w:cs="Times New Roman"/>
          <w:sz w:val="32"/>
          <w:szCs w:val="32"/>
          <w:shd w:val="clear" w:color="auto" w:fill="FFFFFF"/>
        </w:rPr>
        <w:t>元，占比政府采购支出总额的100.0%，其中：授予小微企业合同金额572.10万元，占比政府采购支出总额的57.7 %。</w:t>
      </w:r>
    </w:p>
    <w:p>
      <w:pPr>
        <w:pStyle w:val="6"/>
        <w:shd w:val="clear" w:color="auto" w:fill="FFFFFF"/>
        <w:spacing w:before="0" w:beforeAutospacing="0" w:after="0" w:afterAutospacing="0" w:line="596" w:lineRule="exact"/>
        <w:ind w:firstLine="640" w:firstLineChars="200"/>
        <w:rPr>
          <w:rStyle w:val="9"/>
          <w:rFonts w:hint="default" w:ascii="Times New Roman" w:hAnsi="Times New Roman" w:eastAsia="方正黑体_GBK" w:cs="Times New Roman"/>
          <w:b w:val="0"/>
          <w:bCs/>
          <w:sz w:val="32"/>
          <w:szCs w:val="32"/>
          <w:shd w:val="clear" w:color="auto" w:fill="FFFFFF"/>
        </w:rPr>
      </w:pPr>
      <w:r>
        <w:rPr>
          <w:rStyle w:val="9"/>
          <w:rFonts w:hint="default" w:ascii="Times New Roman" w:hAnsi="Times New Roman" w:eastAsia="方正黑体_GBK" w:cs="Times New Roman"/>
          <w:b w:val="0"/>
          <w:bCs/>
          <w:sz w:val="32"/>
          <w:szCs w:val="32"/>
          <w:shd w:val="clear" w:color="auto" w:fill="FFFFFF"/>
        </w:rPr>
        <w:t>八、单位绩效情况说明</w:t>
      </w:r>
    </w:p>
    <w:p>
      <w:pPr>
        <w:pStyle w:val="11"/>
        <w:autoSpaceDE w:val="0"/>
        <w:spacing w:before="0" w:beforeAutospacing="0" w:after="0" w:afterAutospacing="0" w:line="596" w:lineRule="exact"/>
        <w:ind w:firstLine="642" w:firstLineChars="200"/>
        <w:rPr>
          <w:rFonts w:hint="default" w:ascii="方正楷体_GBK" w:hAnsi="方正楷体_GBK" w:eastAsia="方正楷体_GBK" w:cs="方正楷体_GBK"/>
          <w:b/>
          <w:bCs/>
          <w:sz w:val="32"/>
          <w:szCs w:val="32"/>
          <w:shd w:val="clear" w:color="auto" w:fill="FFFFFF"/>
          <w:lang w:val="en-US" w:eastAsia="zh-CN" w:bidi="ar-SA"/>
        </w:rPr>
      </w:pPr>
      <w:r>
        <w:rPr>
          <w:rFonts w:hint="default" w:ascii="方正楷体_GBK" w:hAnsi="方正楷体_GBK" w:eastAsia="方正楷体_GBK" w:cs="方正楷体_GBK"/>
          <w:b/>
          <w:bCs/>
          <w:sz w:val="32"/>
          <w:szCs w:val="32"/>
          <w:shd w:val="clear" w:color="auto" w:fill="FFFFFF"/>
          <w:lang w:val="en-US" w:eastAsia="zh-CN" w:bidi="ar-SA"/>
        </w:rPr>
        <w:t>（一）单位自评情况</w:t>
      </w:r>
    </w:p>
    <w:p>
      <w:pPr>
        <w:pStyle w:val="11"/>
        <w:autoSpaceDE w:val="0"/>
        <w:spacing w:before="0" w:beforeAutospacing="0" w:after="0" w:afterAutospacing="0" w:line="596" w:lineRule="exact"/>
        <w:ind w:firstLine="640" w:firstLineChars="200"/>
        <w:rPr>
          <w:rFonts w:hint="default" w:ascii="Times New Roman" w:hAnsi="Times New Roman" w:eastAsia="方正仿宋_GBK" w:cs="Times New Roman"/>
          <w:sz w:val="32"/>
          <w:szCs w:val="32"/>
          <w:shd w:val="clear" w:color="auto" w:fill="FFFFFF"/>
        </w:rPr>
      </w:pPr>
      <w:r>
        <w:rPr>
          <w:rFonts w:hint="default" w:ascii="Times New Roman" w:hAnsi="Times New Roman" w:eastAsia="方正仿宋_GBK" w:cs="Times New Roman"/>
          <w:sz w:val="32"/>
          <w:szCs w:val="32"/>
          <w:shd w:val="clear" w:color="auto" w:fill="FFFFFF"/>
        </w:rPr>
        <w:t>根据预算绩效管理要求，我部门（单位）对部门整体和一个一级项目开展了绩效自评，涉及财政拨款项目支出资金324万元</w:t>
      </w:r>
    </w:p>
    <w:p>
      <w:pPr>
        <w:pStyle w:val="11"/>
        <w:autoSpaceDE w:val="0"/>
        <w:spacing w:before="0" w:beforeAutospacing="0" w:after="0" w:afterAutospacing="0" w:line="596" w:lineRule="exact"/>
        <w:ind w:firstLine="642" w:firstLineChars="200"/>
        <w:rPr>
          <w:rFonts w:hint="default" w:ascii="方正楷体_GBK" w:hAnsi="方正楷体_GBK" w:eastAsia="方正楷体_GBK" w:cs="方正楷体_GBK"/>
          <w:b/>
          <w:bCs/>
          <w:sz w:val="32"/>
          <w:szCs w:val="32"/>
          <w:shd w:val="clear" w:color="auto" w:fill="FFFFFF"/>
          <w:lang w:val="en-US" w:eastAsia="zh-CN" w:bidi="ar-SA"/>
        </w:rPr>
      </w:pPr>
      <w:r>
        <w:rPr>
          <w:rFonts w:hint="default" w:ascii="方正楷体_GBK" w:hAnsi="方正楷体_GBK" w:eastAsia="方正楷体_GBK" w:cs="方正楷体_GBK"/>
          <w:b/>
          <w:bCs/>
          <w:sz w:val="32"/>
          <w:szCs w:val="32"/>
          <w:shd w:val="clear" w:color="auto" w:fill="FFFFFF"/>
          <w:lang w:val="en-US" w:eastAsia="zh-CN" w:bidi="ar-SA"/>
        </w:rPr>
        <w:t>（二）部门绩效评价情况</w:t>
      </w:r>
    </w:p>
    <w:p>
      <w:pPr>
        <w:pStyle w:val="13"/>
        <w:autoSpaceDE w:val="0"/>
        <w:spacing w:line="596" w:lineRule="exact"/>
        <w:ind w:firstLine="640"/>
        <w:rPr>
          <w:rFonts w:hint="default" w:ascii="Times New Roman" w:hAnsi="Times New Roman" w:eastAsia="方正仿宋_GBK" w:cs="Times New Roman"/>
          <w:sz w:val="32"/>
          <w:szCs w:val="32"/>
          <w:shd w:val="clear" w:color="auto" w:fill="FFFFFF"/>
        </w:rPr>
      </w:pPr>
      <w:r>
        <w:rPr>
          <w:rFonts w:hint="default" w:ascii="Times New Roman" w:hAnsi="Times New Roman" w:eastAsia="方正仿宋_GBK" w:cs="Times New Roman"/>
          <w:sz w:val="32"/>
          <w:szCs w:val="32"/>
          <w:shd w:val="clear" w:color="auto" w:fill="FFFFFF"/>
        </w:rPr>
        <w:t>无。</w:t>
      </w:r>
    </w:p>
    <w:p>
      <w:pPr>
        <w:pStyle w:val="13"/>
        <w:autoSpaceDE w:val="0"/>
        <w:spacing w:line="596" w:lineRule="exact"/>
        <w:ind w:firstLine="643"/>
        <w:rPr>
          <w:rFonts w:hint="default" w:ascii="方正楷体_GBK" w:hAnsi="方正楷体_GBK" w:eastAsia="方正楷体_GBK" w:cs="方正楷体_GBK"/>
          <w:b/>
          <w:bCs/>
          <w:sz w:val="32"/>
          <w:szCs w:val="32"/>
          <w:shd w:val="clear" w:color="auto" w:fill="FFFFFF"/>
          <w:lang w:val="en-US" w:eastAsia="zh-CN" w:bidi="ar-SA"/>
        </w:rPr>
      </w:pPr>
      <w:r>
        <w:rPr>
          <w:rFonts w:hint="default" w:ascii="方正楷体_GBK" w:hAnsi="方正楷体_GBK" w:eastAsia="方正楷体_GBK" w:cs="方正楷体_GBK"/>
          <w:b/>
          <w:bCs/>
          <w:sz w:val="32"/>
          <w:szCs w:val="32"/>
          <w:shd w:val="clear" w:color="auto" w:fill="FFFFFF"/>
          <w:lang w:val="en-US" w:eastAsia="zh-CN" w:bidi="ar-SA"/>
        </w:rPr>
        <w:t>（三）财政绩效评价情况</w:t>
      </w:r>
    </w:p>
    <w:p>
      <w:pPr>
        <w:pStyle w:val="13"/>
        <w:autoSpaceDE w:val="0"/>
        <w:spacing w:line="596" w:lineRule="exact"/>
        <w:ind w:firstLine="640"/>
        <w:rPr>
          <w:rFonts w:hint="default" w:ascii="Times New Roman" w:hAnsi="Times New Roman" w:eastAsia="方正仿宋_GBK" w:cs="Times New Roman"/>
          <w:sz w:val="32"/>
          <w:szCs w:val="32"/>
          <w:shd w:val="clear" w:color="auto" w:fill="FFFFFF"/>
        </w:rPr>
      </w:pPr>
      <w:r>
        <w:rPr>
          <w:rFonts w:hint="default" w:ascii="Times New Roman" w:hAnsi="Times New Roman" w:eastAsia="方正仿宋_GBK" w:cs="Times New Roman"/>
          <w:sz w:val="32"/>
          <w:szCs w:val="32"/>
          <w:shd w:val="clear" w:color="auto" w:fill="FFFFFF"/>
        </w:rPr>
        <w:t>市财政局未委托第三方对我部门（单位）开展绩效评价。</w:t>
      </w:r>
    </w:p>
    <w:p>
      <w:pPr>
        <w:pStyle w:val="6"/>
        <w:shd w:val="clear" w:color="auto" w:fill="FFFFFF"/>
        <w:spacing w:before="0" w:beforeAutospacing="0" w:after="0" w:afterAutospacing="0" w:line="596" w:lineRule="exact"/>
        <w:ind w:firstLine="640" w:firstLineChars="200"/>
        <w:rPr>
          <w:rStyle w:val="9"/>
          <w:rFonts w:hint="default" w:ascii="Times New Roman" w:hAnsi="Times New Roman" w:eastAsia="方正黑体_GBK" w:cs="Times New Roman"/>
          <w:b w:val="0"/>
          <w:bCs/>
          <w:sz w:val="32"/>
          <w:szCs w:val="32"/>
          <w:shd w:val="clear" w:color="auto" w:fill="FFFFFF"/>
        </w:rPr>
      </w:pPr>
      <w:r>
        <w:rPr>
          <w:rStyle w:val="9"/>
          <w:rFonts w:hint="default" w:ascii="Times New Roman" w:hAnsi="Times New Roman" w:eastAsia="方正黑体_GBK" w:cs="Times New Roman"/>
          <w:b w:val="0"/>
          <w:bCs/>
          <w:sz w:val="32"/>
          <w:szCs w:val="32"/>
          <w:shd w:val="clear" w:color="auto" w:fill="FFFFFF"/>
        </w:rPr>
        <w:t>九、专业名词解释</w:t>
      </w:r>
    </w:p>
    <w:p>
      <w:pPr>
        <w:pStyle w:val="11"/>
        <w:numPr>
          <w:ilvl w:val="0"/>
          <w:numId w:val="1"/>
        </w:numPr>
        <w:spacing w:before="0" w:beforeAutospacing="0" w:after="0" w:afterAutospacing="0" w:line="596" w:lineRule="exact"/>
        <w:ind w:firstLine="642" w:firstLineChars="200"/>
        <w:rPr>
          <w:rFonts w:hint="default" w:ascii="Times New Roman" w:hAnsi="Times New Roman" w:eastAsia="方正仿宋_GBK" w:cs="Times New Roman"/>
          <w:sz w:val="32"/>
          <w:szCs w:val="32"/>
          <w:shd w:val="clear" w:color="auto" w:fill="FFFFFF"/>
        </w:rPr>
      </w:pPr>
      <w:r>
        <w:rPr>
          <w:rFonts w:hint="default" w:ascii="方正楷体_GBK" w:hAnsi="方正楷体_GBK" w:eastAsia="方正楷体_GBK" w:cs="方正楷体_GBK"/>
          <w:b/>
          <w:bCs/>
          <w:sz w:val="32"/>
          <w:szCs w:val="32"/>
          <w:shd w:val="clear" w:color="auto" w:fill="FFFFFF"/>
          <w:lang w:val="en-US" w:eastAsia="zh-CN" w:bidi="ar-SA"/>
        </w:rPr>
        <w:t>财政拨款收入：</w:t>
      </w:r>
      <w:r>
        <w:rPr>
          <w:rFonts w:hint="default" w:ascii="Times New Roman" w:hAnsi="Times New Roman" w:eastAsia="方正仿宋_GBK" w:cs="Times New Roman"/>
          <w:sz w:val="32"/>
          <w:szCs w:val="32"/>
          <w:shd w:val="clear" w:color="auto" w:fill="FFFFFF"/>
        </w:rPr>
        <w:t>指本年度从本级财政部门取得的财政拨款。</w:t>
      </w:r>
    </w:p>
    <w:p>
      <w:pPr>
        <w:pStyle w:val="11"/>
        <w:spacing w:before="0" w:beforeAutospacing="0" w:after="0" w:afterAutospacing="0" w:line="596" w:lineRule="exact"/>
        <w:ind w:firstLine="642" w:firstLineChars="200"/>
        <w:rPr>
          <w:rFonts w:hint="default" w:ascii="Times New Roman" w:hAnsi="Times New Roman" w:eastAsia="方正仿宋_GBK" w:cs="Times New Roman"/>
          <w:sz w:val="32"/>
          <w:szCs w:val="32"/>
        </w:rPr>
      </w:pPr>
      <w:r>
        <w:rPr>
          <w:rFonts w:hint="default" w:ascii="方正楷体_GBK" w:hAnsi="方正楷体_GBK" w:eastAsia="方正楷体_GBK" w:cs="方正楷体_GBK"/>
          <w:b/>
          <w:bCs/>
          <w:sz w:val="32"/>
          <w:szCs w:val="32"/>
          <w:shd w:val="clear" w:color="auto" w:fill="FFFFFF"/>
          <w:lang w:val="en-US" w:eastAsia="zh-CN" w:bidi="ar-SA"/>
        </w:rPr>
        <w:t>（二）事业收入：</w:t>
      </w:r>
      <w:r>
        <w:rPr>
          <w:rFonts w:hint="default" w:ascii="Times New Roman" w:hAnsi="Times New Roman" w:eastAsia="方正仿宋_GBK" w:cs="Times New Roman"/>
          <w:sz w:val="32"/>
          <w:szCs w:val="32"/>
          <w:shd w:val="clear" w:color="auto" w:fill="FFFFFF"/>
        </w:rPr>
        <w:t>指事业单位开展专业业务活动及其辅助活动取得的收入；事业单位收到的财政专户实际核拨的教育收费等资金在此反映。</w:t>
      </w:r>
    </w:p>
    <w:p>
      <w:pPr>
        <w:pStyle w:val="11"/>
        <w:spacing w:before="0" w:beforeAutospacing="0" w:after="0" w:afterAutospacing="0" w:line="596" w:lineRule="exact"/>
        <w:ind w:firstLine="642" w:firstLineChars="200"/>
        <w:rPr>
          <w:rFonts w:hint="default" w:ascii="Times New Roman" w:hAnsi="Times New Roman" w:eastAsia="方正仿宋_GBK" w:cs="Times New Roman"/>
          <w:sz w:val="32"/>
          <w:szCs w:val="32"/>
        </w:rPr>
      </w:pPr>
      <w:r>
        <w:rPr>
          <w:rFonts w:hint="default" w:ascii="方正楷体_GBK" w:hAnsi="方正楷体_GBK" w:eastAsia="方正楷体_GBK" w:cs="方正楷体_GBK"/>
          <w:b/>
          <w:bCs/>
          <w:sz w:val="32"/>
          <w:szCs w:val="32"/>
          <w:shd w:val="clear" w:color="auto" w:fill="FFFFFF"/>
          <w:lang w:val="en-US" w:eastAsia="zh-CN" w:bidi="ar-SA"/>
        </w:rPr>
        <w:t>（三）经营收入：</w:t>
      </w:r>
      <w:r>
        <w:rPr>
          <w:rFonts w:hint="default" w:ascii="Times New Roman" w:hAnsi="Times New Roman" w:eastAsia="方正仿宋_GBK" w:cs="Times New Roman"/>
          <w:sz w:val="32"/>
          <w:szCs w:val="32"/>
          <w:shd w:val="clear" w:color="auto" w:fill="FFFFFF"/>
        </w:rPr>
        <w:t>指事业单位在专业业务活动及其辅助活动之外开展非独立核算经营活动取得的现金流入。</w:t>
      </w:r>
    </w:p>
    <w:p>
      <w:pPr>
        <w:pStyle w:val="11"/>
        <w:spacing w:before="0" w:beforeAutospacing="0" w:after="0" w:afterAutospacing="0" w:line="596" w:lineRule="exact"/>
        <w:ind w:firstLine="642" w:firstLineChars="200"/>
        <w:rPr>
          <w:rFonts w:hint="default" w:ascii="Times New Roman" w:hAnsi="Times New Roman" w:eastAsia="方正仿宋_GBK" w:cs="Times New Roman"/>
          <w:sz w:val="32"/>
          <w:szCs w:val="32"/>
          <w:shd w:val="clear" w:color="auto" w:fill="FFFFFF"/>
        </w:rPr>
      </w:pPr>
      <w:r>
        <w:rPr>
          <w:rFonts w:hint="default" w:ascii="方正楷体_GBK" w:hAnsi="方正楷体_GBK" w:eastAsia="方正楷体_GBK" w:cs="方正楷体_GBK"/>
          <w:b/>
          <w:bCs/>
          <w:sz w:val="32"/>
          <w:szCs w:val="32"/>
          <w:shd w:val="clear" w:color="auto" w:fill="FFFFFF"/>
          <w:lang w:val="en-US" w:eastAsia="zh-CN" w:bidi="ar-SA"/>
        </w:rPr>
        <w:t>（四）其他收入：</w:t>
      </w:r>
      <w:r>
        <w:rPr>
          <w:rFonts w:hint="default" w:ascii="Times New Roman" w:hAnsi="Times New Roman" w:eastAsia="方正仿宋_GBK" w:cs="Times New Roman"/>
          <w:sz w:val="32"/>
          <w:szCs w:val="32"/>
          <w:shd w:val="clear" w:color="auto" w:fill="FFFFFF"/>
        </w:rPr>
        <w:t>指单位取得的除“财政拨款收入”、“事业收入”、“经营收入”等以外的收入。</w:t>
      </w:r>
    </w:p>
    <w:p>
      <w:pPr>
        <w:pStyle w:val="11"/>
        <w:spacing w:before="0" w:beforeAutospacing="0" w:after="0" w:afterAutospacing="0" w:line="596" w:lineRule="exact"/>
        <w:ind w:firstLine="642" w:firstLineChars="200"/>
        <w:rPr>
          <w:rFonts w:hint="default" w:ascii="Times New Roman" w:hAnsi="Times New Roman" w:eastAsia="方正仿宋_GBK" w:cs="Times New Roman"/>
          <w:sz w:val="32"/>
          <w:szCs w:val="32"/>
        </w:rPr>
      </w:pPr>
      <w:r>
        <w:rPr>
          <w:rFonts w:hint="default" w:ascii="方正楷体_GBK" w:hAnsi="方正楷体_GBK" w:eastAsia="方正楷体_GBK" w:cs="方正楷体_GBK"/>
          <w:b/>
          <w:bCs/>
          <w:sz w:val="32"/>
          <w:szCs w:val="32"/>
          <w:shd w:val="clear" w:color="auto" w:fill="FFFFFF"/>
          <w:lang w:val="en-US" w:eastAsia="zh-CN" w:bidi="ar-SA"/>
        </w:rPr>
        <w:t>（五）使用非财政拨款结余（含专用结余）：</w:t>
      </w:r>
      <w:r>
        <w:rPr>
          <w:rFonts w:hint="default" w:ascii="Times New Roman" w:hAnsi="Times New Roman" w:eastAsia="方正仿宋_GBK" w:cs="Times New Roman"/>
          <w:sz w:val="32"/>
          <w:szCs w:val="32"/>
          <w:shd w:val="clear" w:color="auto" w:fill="FFFFFF"/>
        </w:rPr>
        <w:t>指事业单位按照预算管理要求使用非财政拨款结余弥补本年度收支缺口的资金，以及使用专用结余安排支出的资金。</w:t>
      </w:r>
    </w:p>
    <w:p>
      <w:pPr>
        <w:pStyle w:val="11"/>
        <w:spacing w:before="0" w:beforeAutospacing="0" w:after="0" w:afterAutospacing="0" w:line="596" w:lineRule="exact"/>
        <w:ind w:firstLine="642" w:firstLineChars="200"/>
        <w:rPr>
          <w:rFonts w:hint="default" w:ascii="Times New Roman" w:hAnsi="Times New Roman" w:eastAsia="方正仿宋_GBK" w:cs="Times New Roman"/>
          <w:sz w:val="32"/>
          <w:szCs w:val="32"/>
        </w:rPr>
      </w:pPr>
      <w:r>
        <w:rPr>
          <w:rFonts w:hint="default" w:ascii="方正楷体_GBK" w:hAnsi="方正楷体_GBK" w:eastAsia="方正楷体_GBK" w:cs="方正楷体_GBK"/>
          <w:b/>
          <w:bCs/>
          <w:sz w:val="32"/>
          <w:szCs w:val="32"/>
          <w:shd w:val="clear" w:color="auto" w:fill="FFFFFF"/>
          <w:lang w:val="en-US" w:eastAsia="zh-CN" w:bidi="ar-SA"/>
        </w:rPr>
        <w:t>（六）年初结转和结余：</w:t>
      </w:r>
      <w:r>
        <w:rPr>
          <w:rFonts w:hint="default" w:ascii="Times New Roman" w:hAnsi="Times New Roman" w:eastAsia="方正仿宋_GBK" w:cs="Times New Roman"/>
          <w:sz w:val="32"/>
          <w:szCs w:val="32"/>
          <w:shd w:val="clear" w:color="auto" w:fill="FFFFFF"/>
        </w:rPr>
        <w:t>指单位上年结转本年使用的基本支出结转、项目支出结转和结余、经营结余。</w:t>
      </w:r>
    </w:p>
    <w:p>
      <w:pPr>
        <w:pStyle w:val="11"/>
        <w:spacing w:before="0" w:beforeAutospacing="0" w:after="0" w:afterAutospacing="0" w:line="596" w:lineRule="exact"/>
        <w:ind w:firstLine="642" w:firstLineChars="200"/>
        <w:rPr>
          <w:rFonts w:hint="default" w:ascii="Times New Roman" w:hAnsi="Times New Roman" w:eastAsia="方正仿宋_GBK" w:cs="Times New Roman"/>
          <w:sz w:val="32"/>
          <w:szCs w:val="32"/>
        </w:rPr>
      </w:pPr>
      <w:r>
        <w:rPr>
          <w:rFonts w:hint="default" w:ascii="方正楷体_GBK" w:hAnsi="方正楷体_GBK" w:eastAsia="方正楷体_GBK" w:cs="方正楷体_GBK"/>
          <w:b/>
          <w:bCs/>
          <w:sz w:val="32"/>
          <w:szCs w:val="32"/>
          <w:shd w:val="clear" w:color="auto" w:fill="FFFFFF"/>
          <w:lang w:val="en-US" w:eastAsia="zh-CN" w:bidi="ar-SA"/>
        </w:rPr>
        <w:t>（七）结余分配：</w:t>
      </w:r>
      <w:r>
        <w:rPr>
          <w:rFonts w:hint="default" w:ascii="Times New Roman" w:hAnsi="Times New Roman" w:eastAsia="方正仿宋_GBK" w:cs="Times New Roman"/>
          <w:sz w:val="32"/>
          <w:szCs w:val="32"/>
          <w:shd w:val="clear" w:color="auto" w:fill="FFFFFF"/>
        </w:rPr>
        <w:t>指单位按照国家有关规定，缴纳所得税、提取专用基金、转入非财政拨款结余等当年结余的分配情况。</w:t>
      </w:r>
    </w:p>
    <w:p>
      <w:pPr>
        <w:pStyle w:val="11"/>
        <w:spacing w:before="0" w:beforeAutospacing="0" w:after="0" w:afterAutospacing="0" w:line="596" w:lineRule="exact"/>
        <w:ind w:firstLine="642" w:firstLineChars="200"/>
        <w:rPr>
          <w:rFonts w:hint="default" w:ascii="Times New Roman" w:hAnsi="Times New Roman" w:eastAsia="方正仿宋_GBK" w:cs="Times New Roman"/>
          <w:sz w:val="32"/>
          <w:szCs w:val="32"/>
        </w:rPr>
      </w:pPr>
      <w:r>
        <w:rPr>
          <w:rFonts w:hint="default" w:ascii="方正楷体_GBK" w:hAnsi="方正楷体_GBK" w:eastAsia="方正楷体_GBK" w:cs="方正楷体_GBK"/>
          <w:b/>
          <w:bCs/>
          <w:sz w:val="32"/>
          <w:szCs w:val="32"/>
          <w:shd w:val="clear" w:color="auto" w:fill="FFFFFF"/>
          <w:lang w:val="en-US" w:eastAsia="zh-CN" w:bidi="ar-SA"/>
        </w:rPr>
        <w:t>（八）年末结转和结余：</w:t>
      </w:r>
      <w:r>
        <w:rPr>
          <w:rFonts w:hint="default" w:ascii="Times New Roman" w:hAnsi="Times New Roman" w:eastAsia="方正仿宋_GBK" w:cs="Times New Roman"/>
          <w:sz w:val="32"/>
          <w:szCs w:val="32"/>
          <w:shd w:val="clear" w:color="auto" w:fill="FFFFFF"/>
        </w:rPr>
        <w:t>指单位结转下年的基本支出结转、项目支出结转和结余、经营结余。</w:t>
      </w:r>
    </w:p>
    <w:p>
      <w:pPr>
        <w:pStyle w:val="11"/>
        <w:spacing w:before="0" w:beforeAutospacing="0" w:after="0" w:afterAutospacing="0" w:line="596" w:lineRule="exact"/>
        <w:ind w:firstLine="642" w:firstLineChars="200"/>
        <w:rPr>
          <w:rFonts w:hint="default" w:ascii="Times New Roman" w:hAnsi="Times New Roman" w:eastAsia="方正仿宋_GBK" w:cs="Times New Roman"/>
          <w:sz w:val="32"/>
          <w:szCs w:val="32"/>
          <w:shd w:val="clear" w:color="auto" w:fill="FFFFFF"/>
        </w:rPr>
      </w:pPr>
      <w:r>
        <w:rPr>
          <w:rFonts w:hint="default" w:ascii="方正楷体_GBK" w:hAnsi="方正楷体_GBK" w:eastAsia="方正楷体_GBK" w:cs="方正楷体_GBK"/>
          <w:b/>
          <w:bCs/>
          <w:sz w:val="32"/>
          <w:szCs w:val="32"/>
          <w:shd w:val="clear" w:color="auto" w:fill="FFFFFF"/>
          <w:lang w:val="en-US" w:eastAsia="zh-CN" w:bidi="ar-SA"/>
        </w:rPr>
        <w:t>（九）基本支出：</w:t>
      </w:r>
      <w:r>
        <w:rPr>
          <w:rFonts w:hint="default" w:ascii="Times New Roman" w:hAnsi="Times New Roman" w:eastAsia="方正仿宋_GBK" w:cs="Times New Roman"/>
          <w:sz w:val="32"/>
          <w:szCs w:val="32"/>
          <w:shd w:val="clear" w:color="auto" w:fill="FFFFFF"/>
        </w:rPr>
        <w:t>指为保障机构正常运转、完成日常工作任务而发生的人员经费和公用经费。</w:t>
      </w:r>
    </w:p>
    <w:p>
      <w:pPr>
        <w:pStyle w:val="11"/>
        <w:spacing w:before="0" w:beforeAutospacing="0" w:after="0" w:afterAutospacing="0" w:line="596" w:lineRule="exact"/>
        <w:ind w:firstLine="642" w:firstLineChars="200"/>
        <w:rPr>
          <w:rFonts w:hint="default" w:ascii="Times New Roman" w:hAnsi="Times New Roman" w:eastAsia="方正仿宋_GBK" w:cs="Times New Roman"/>
          <w:sz w:val="32"/>
          <w:szCs w:val="32"/>
        </w:rPr>
      </w:pPr>
      <w:r>
        <w:rPr>
          <w:rFonts w:hint="default" w:ascii="方正楷体_GBK" w:hAnsi="方正楷体_GBK" w:eastAsia="方正楷体_GBK" w:cs="方正楷体_GBK"/>
          <w:b/>
          <w:bCs/>
          <w:sz w:val="32"/>
          <w:szCs w:val="32"/>
          <w:shd w:val="clear" w:color="auto" w:fill="FFFFFF"/>
          <w:lang w:val="en-US" w:eastAsia="zh-CN" w:bidi="ar-SA"/>
        </w:rPr>
        <w:t>（十）项目支出：</w:t>
      </w:r>
      <w:r>
        <w:rPr>
          <w:rFonts w:hint="default" w:ascii="Times New Roman" w:hAnsi="Times New Roman" w:eastAsia="方正仿宋_GBK" w:cs="Times New Roman"/>
          <w:sz w:val="32"/>
          <w:szCs w:val="32"/>
          <w:shd w:val="clear" w:color="auto" w:fill="FFFFFF"/>
        </w:rPr>
        <w:t>指在基本支出之外为完成特定行政任务和事业发展目标所发生的支出。</w:t>
      </w:r>
    </w:p>
    <w:p>
      <w:pPr>
        <w:pStyle w:val="11"/>
        <w:spacing w:before="0" w:beforeAutospacing="0" w:after="0" w:afterAutospacing="0" w:line="596" w:lineRule="exact"/>
        <w:ind w:firstLine="642" w:firstLineChars="200"/>
        <w:rPr>
          <w:rFonts w:hint="default" w:ascii="Times New Roman" w:hAnsi="Times New Roman" w:eastAsia="方正仿宋_GBK" w:cs="Times New Roman"/>
          <w:sz w:val="32"/>
          <w:szCs w:val="32"/>
        </w:rPr>
      </w:pPr>
      <w:r>
        <w:rPr>
          <w:rFonts w:hint="default" w:ascii="方正楷体_GBK" w:hAnsi="方正楷体_GBK" w:eastAsia="方正楷体_GBK" w:cs="方正楷体_GBK"/>
          <w:b/>
          <w:bCs/>
          <w:sz w:val="32"/>
          <w:szCs w:val="32"/>
          <w:shd w:val="clear" w:color="auto" w:fill="FFFFFF"/>
          <w:lang w:val="en-US" w:eastAsia="zh-CN" w:bidi="ar-SA"/>
        </w:rPr>
        <w:t>（十一）经营支出：</w:t>
      </w:r>
      <w:r>
        <w:rPr>
          <w:rFonts w:hint="default" w:ascii="Times New Roman" w:hAnsi="Times New Roman" w:eastAsia="方正仿宋_GBK" w:cs="Times New Roman"/>
          <w:sz w:val="32"/>
          <w:szCs w:val="32"/>
          <w:shd w:val="clear" w:color="auto" w:fill="FFFFFF"/>
        </w:rPr>
        <w:t>指事业单位在专业业务活动及其辅助活动之外开展非独立核算经营活动发生的支出。</w:t>
      </w:r>
    </w:p>
    <w:p>
      <w:pPr>
        <w:pStyle w:val="11"/>
        <w:spacing w:before="0" w:beforeAutospacing="0" w:after="0" w:afterAutospacing="0" w:line="596" w:lineRule="exact"/>
        <w:ind w:firstLine="642" w:firstLineChars="200"/>
        <w:rPr>
          <w:rFonts w:hint="default" w:ascii="Times New Roman" w:hAnsi="Times New Roman" w:eastAsia="方正仿宋_GBK" w:cs="Times New Roman"/>
          <w:sz w:val="32"/>
          <w:szCs w:val="32"/>
        </w:rPr>
      </w:pPr>
      <w:r>
        <w:rPr>
          <w:rFonts w:hint="default" w:ascii="方正楷体_GBK" w:hAnsi="方正楷体_GBK" w:eastAsia="方正楷体_GBK" w:cs="方正楷体_GBK"/>
          <w:b/>
          <w:bCs/>
          <w:sz w:val="32"/>
          <w:szCs w:val="32"/>
          <w:shd w:val="clear" w:color="auto" w:fill="FFFFFF"/>
          <w:lang w:val="en-US" w:eastAsia="zh-CN" w:bidi="ar-SA"/>
        </w:rPr>
        <w:t>（十二）“三公”经费：</w:t>
      </w:r>
      <w:r>
        <w:rPr>
          <w:rFonts w:hint="default" w:ascii="Times New Roman" w:hAnsi="Times New Roman" w:eastAsia="方正仿宋_GBK" w:cs="Times New Roman"/>
          <w:sz w:val="32"/>
          <w:szCs w:val="32"/>
          <w:shd w:val="clear" w:color="auto" w:fill="FFFFFF"/>
        </w:rPr>
        <w:t>指用财政拨款安排的因公出国（境）费、公务用车购置及运行维护费、公务接待费。其中，因公出国（境）费反映单位公务出国（境）的国际旅费、国外城市间交通费、住宿费、伙食费、培训费、公杂费等支出；公务用车购置费反映单位公务用车购置支出（含车辆购置税）；公务用车运行维护费反映单位按规定保留的公务用车燃料费、维修费、过路过桥费、保险费、安全奖励费用等支出；公务接待费反映单位按规定开支的各类公务接待（含外宾接待）支出。</w:t>
      </w:r>
    </w:p>
    <w:p>
      <w:pPr>
        <w:pStyle w:val="11"/>
        <w:spacing w:before="0" w:beforeAutospacing="0" w:after="0" w:afterAutospacing="0" w:line="596" w:lineRule="exact"/>
        <w:ind w:firstLine="642" w:firstLineChars="200"/>
        <w:rPr>
          <w:rFonts w:hint="default" w:ascii="Times New Roman" w:hAnsi="Times New Roman" w:eastAsia="方正仿宋_GBK" w:cs="Times New Roman"/>
          <w:sz w:val="32"/>
          <w:szCs w:val="32"/>
        </w:rPr>
      </w:pPr>
      <w:r>
        <w:rPr>
          <w:rFonts w:hint="default" w:ascii="方正楷体_GBK" w:hAnsi="方正楷体_GBK" w:eastAsia="方正楷体_GBK" w:cs="方正楷体_GBK"/>
          <w:b/>
          <w:bCs/>
          <w:sz w:val="32"/>
          <w:szCs w:val="32"/>
          <w:shd w:val="clear" w:color="auto" w:fill="FFFFFF"/>
          <w:lang w:val="en-US" w:eastAsia="zh-CN" w:bidi="ar-SA"/>
        </w:rPr>
        <w:t>（十三）机关运行经费：</w:t>
      </w:r>
      <w:r>
        <w:rPr>
          <w:rFonts w:hint="default" w:ascii="Times New Roman" w:hAnsi="Times New Roman" w:eastAsia="方正仿宋_GBK" w:cs="Times New Roman"/>
          <w:sz w:val="32"/>
          <w:szCs w:val="32"/>
          <w:shd w:val="clear" w:color="auto" w:fill="FFFFFF"/>
        </w:rPr>
        <w:t>为保障行政单位（含参照公务员法管理的事业单位）运行用于购买货物和服务等的各项公用经费，包括办公及印刷费、邮电费、差旅费、会议费、福利费、日常维护费、专用材料及一般设备购置费、办公用房水电费、办公用房取暖费、办公用房物业管理费、公务用车运行维护费以及其他费用。</w:t>
      </w:r>
    </w:p>
    <w:p>
      <w:pPr>
        <w:pStyle w:val="11"/>
        <w:spacing w:before="0" w:beforeAutospacing="0" w:after="0" w:afterAutospacing="0" w:line="596" w:lineRule="exact"/>
        <w:ind w:firstLine="642" w:firstLineChars="200"/>
        <w:rPr>
          <w:rFonts w:hint="default" w:ascii="Times New Roman" w:hAnsi="Times New Roman" w:eastAsia="方正仿宋_GBK" w:cs="Times New Roman"/>
          <w:sz w:val="32"/>
          <w:szCs w:val="32"/>
        </w:rPr>
      </w:pPr>
      <w:r>
        <w:rPr>
          <w:rFonts w:hint="default" w:ascii="方正楷体_GBK" w:hAnsi="方正楷体_GBK" w:eastAsia="方正楷体_GBK" w:cs="方正楷体_GBK"/>
          <w:b/>
          <w:bCs/>
          <w:sz w:val="32"/>
          <w:szCs w:val="32"/>
          <w:shd w:val="clear" w:color="auto" w:fill="FFFFFF"/>
          <w:lang w:val="en-US" w:eastAsia="zh-CN" w:bidi="ar-SA"/>
        </w:rPr>
        <w:t>（十四）工资福利支出（支出经济分类科目类级）：</w:t>
      </w:r>
      <w:r>
        <w:rPr>
          <w:rFonts w:hint="default" w:ascii="Times New Roman" w:hAnsi="Times New Roman" w:eastAsia="方正仿宋_GBK" w:cs="Times New Roman"/>
          <w:sz w:val="32"/>
          <w:szCs w:val="32"/>
          <w:shd w:val="clear" w:color="auto" w:fill="FFFFFF"/>
        </w:rPr>
        <w:t>反映单位开支的在职职工和编制外长期聘用人员的各类劳动报酬，以及为上述人员缴纳的各项社会保险费等。</w:t>
      </w:r>
    </w:p>
    <w:p>
      <w:pPr>
        <w:pStyle w:val="11"/>
        <w:spacing w:before="0" w:beforeAutospacing="0" w:after="0" w:afterAutospacing="0" w:line="596" w:lineRule="exact"/>
        <w:ind w:firstLine="642" w:firstLineChars="200"/>
        <w:rPr>
          <w:rFonts w:hint="default" w:ascii="Times New Roman" w:hAnsi="Times New Roman" w:eastAsia="方正仿宋_GBK" w:cs="Times New Roman"/>
          <w:sz w:val="32"/>
          <w:szCs w:val="32"/>
        </w:rPr>
      </w:pPr>
      <w:r>
        <w:rPr>
          <w:rFonts w:hint="default" w:ascii="方正楷体_GBK" w:hAnsi="方正楷体_GBK" w:eastAsia="方正楷体_GBK" w:cs="方正楷体_GBK"/>
          <w:b/>
          <w:bCs/>
          <w:sz w:val="32"/>
          <w:szCs w:val="32"/>
          <w:shd w:val="clear" w:color="auto" w:fill="FFFFFF"/>
          <w:lang w:val="en-US" w:eastAsia="zh-CN" w:bidi="ar-SA"/>
        </w:rPr>
        <w:t>（十五）商品和服务支出（支出经济分类科目类级）：</w:t>
      </w:r>
      <w:r>
        <w:rPr>
          <w:rFonts w:hint="default" w:ascii="Times New Roman" w:hAnsi="Times New Roman" w:eastAsia="方正仿宋_GBK" w:cs="Times New Roman"/>
          <w:sz w:val="32"/>
          <w:szCs w:val="32"/>
          <w:shd w:val="clear" w:color="auto" w:fill="FFFFFF"/>
        </w:rPr>
        <w:t>反映单位购买商品和服务的支出（不包括用于购置固定资产的支出、战略性和应急储备支出）。</w:t>
      </w:r>
    </w:p>
    <w:p>
      <w:pPr>
        <w:pStyle w:val="11"/>
        <w:spacing w:before="0" w:beforeAutospacing="0" w:after="0" w:afterAutospacing="0" w:line="596" w:lineRule="exact"/>
        <w:ind w:firstLine="642" w:firstLineChars="200"/>
        <w:rPr>
          <w:rFonts w:hint="default" w:ascii="Times New Roman" w:hAnsi="Times New Roman" w:eastAsia="方正仿宋_GBK" w:cs="Times New Roman"/>
          <w:sz w:val="32"/>
          <w:szCs w:val="32"/>
        </w:rPr>
      </w:pPr>
      <w:r>
        <w:rPr>
          <w:rFonts w:hint="default" w:ascii="方正楷体_GBK" w:hAnsi="方正楷体_GBK" w:eastAsia="方正楷体_GBK" w:cs="方正楷体_GBK"/>
          <w:b/>
          <w:bCs/>
          <w:sz w:val="32"/>
          <w:szCs w:val="32"/>
          <w:shd w:val="clear" w:color="auto" w:fill="FFFFFF"/>
          <w:lang w:val="en-US" w:eastAsia="zh-CN" w:bidi="ar-SA"/>
        </w:rPr>
        <w:t>（十六）对个人和家庭的补助（支出经济分类科目类级）：</w:t>
      </w:r>
      <w:r>
        <w:rPr>
          <w:rFonts w:hint="default" w:ascii="Times New Roman" w:hAnsi="Times New Roman" w:eastAsia="方正仿宋_GBK" w:cs="Times New Roman"/>
          <w:sz w:val="32"/>
          <w:szCs w:val="32"/>
          <w:shd w:val="clear" w:color="auto" w:fill="FFFFFF"/>
        </w:rPr>
        <w:t>反映用于对个人和家庭的补助支出。</w:t>
      </w:r>
    </w:p>
    <w:p>
      <w:pPr>
        <w:pStyle w:val="11"/>
        <w:spacing w:before="0" w:beforeAutospacing="0" w:after="0" w:afterAutospacing="0" w:line="596" w:lineRule="exact"/>
        <w:ind w:firstLine="642" w:firstLineChars="200"/>
        <w:rPr>
          <w:rFonts w:hint="default" w:ascii="Times New Roman" w:hAnsi="Times New Roman" w:eastAsia="方正仿宋_GBK" w:cs="Times New Roman"/>
          <w:b/>
          <w:bCs/>
          <w:sz w:val="32"/>
          <w:szCs w:val="32"/>
          <w:shd w:val="clear" w:color="auto" w:fill="FFFFFF"/>
        </w:rPr>
      </w:pPr>
      <w:r>
        <w:rPr>
          <w:rFonts w:hint="default" w:ascii="方正楷体_GBK" w:hAnsi="方正楷体_GBK" w:eastAsia="方正楷体_GBK" w:cs="方正楷体_GBK"/>
          <w:b/>
          <w:bCs/>
          <w:sz w:val="32"/>
          <w:szCs w:val="32"/>
          <w:shd w:val="clear" w:color="auto" w:fill="FFFFFF"/>
          <w:lang w:val="en-US" w:eastAsia="zh-CN" w:bidi="ar-SA"/>
        </w:rPr>
        <w:t>（十七）其他资本性支出（支出经济分类科目类级）：</w:t>
      </w:r>
      <w:r>
        <w:rPr>
          <w:rFonts w:hint="default" w:ascii="Times New Roman" w:hAnsi="Times New Roman" w:eastAsia="方正仿宋_GBK" w:cs="Times New Roman"/>
          <w:sz w:val="32"/>
          <w:szCs w:val="32"/>
          <w:shd w:val="clear" w:color="auto" w:fill="FFFFFF"/>
        </w:rPr>
        <w:t>反映非各级发展与改革部门集中安排的用于购置固定资产、战略性和应急性储备、土地和无形资产，以及构建基础设施、大型修缮和财政支持企业更新改造所发生的支出。</w:t>
      </w:r>
    </w:p>
    <w:p>
      <w:pPr>
        <w:pStyle w:val="6"/>
        <w:shd w:val="clear" w:color="auto" w:fill="FFFFFF"/>
        <w:spacing w:before="0" w:beforeAutospacing="0" w:after="0" w:afterAutospacing="0" w:line="596" w:lineRule="exact"/>
        <w:ind w:firstLine="640" w:firstLineChars="200"/>
        <w:rPr>
          <w:rStyle w:val="9"/>
          <w:rFonts w:hint="default" w:ascii="Times New Roman" w:hAnsi="Times New Roman" w:eastAsia="方正黑体_GBK" w:cs="Times New Roman"/>
          <w:b w:val="0"/>
          <w:bCs/>
          <w:sz w:val="32"/>
          <w:szCs w:val="32"/>
          <w:shd w:val="clear" w:color="auto" w:fill="FFFFFF"/>
        </w:rPr>
      </w:pPr>
      <w:r>
        <w:rPr>
          <w:rStyle w:val="9"/>
          <w:rFonts w:hint="default" w:ascii="Times New Roman" w:hAnsi="Times New Roman" w:eastAsia="方正黑体_GBK" w:cs="Times New Roman"/>
          <w:b w:val="0"/>
          <w:bCs/>
          <w:sz w:val="32"/>
          <w:szCs w:val="32"/>
          <w:shd w:val="clear" w:color="auto" w:fill="FFFFFF"/>
        </w:rPr>
        <w:t>十、决算公开联系方式</w:t>
      </w:r>
    </w:p>
    <w:p>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596" w:lineRule="exact"/>
        <w:ind w:firstLine="640" w:firstLineChars="200"/>
        <w:textAlignment w:val="auto"/>
        <w:rPr>
          <w:rFonts w:hint="default" w:ascii="Times New Roman" w:hAnsi="Times New Roman" w:eastAsia="方正仿宋_GBK" w:cs="Times New Roman"/>
          <w:b/>
          <w:bCs/>
          <w:sz w:val="32"/>
          <w:szCs w:val="32"/>
          <w:highlight w:val="yellow"/>
          <w:shd w:val="clear" w:color="auto" w:fill="FFFFFF"/>
        </w:rPr>
      </w:pPr>
      <w:r>
        <w:rPr>
          <w:rFonts w:hint="default" w:ascii="Times New Roman" w:hAnsi="Times New Roman" w:eastAsia="方正仿宋_GBK" w:cs="Times New Roman"/>
          <w:sz w:val="32"/>
          <w:szCs w:val="32"/>
          <w:shd w:val="clear" w:color="auto" w:fill="FFFFFF"/>
        </w:rPr>
        <w:t>本单位决算公开信息反馈和联系方式：023-72125006。</w:t>
      </w:r>
    </w:p>
    <w:sectPr>
      <w:headerReference r:id="rId6" w:type="default"/>
      <w:footerReference r:id="rId7" w:type="default"/>
      <w:pgSz w:w="11906" w:h="16838"/>
      <w:pgMar w:top="1440" w:right="1803" w:bottom="1440" w:left="1803" w:header="0" w:footer="283"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script"/>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Arial">
    <w:altName w:val="Times New Roman"/>
    <w:panose1 w:val="020B0604020202020204"/>
    <w:charset w:val="00"/>
    <w:family w:val="swiss"/>
    <w:pitch w:val="default"/>
    <w:sig w:usb0="00000000" w:usb1="00000000" w:usb2="00000009" w:usb3="00000000" w:csb0="000001F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hint="default"/>
      </w:rPr>
    </w:pPr>
    <w:r>
      <w:rPr>
        <w:rFonts w:hint="default"/>
      </w:rPr>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weight="0.5pt"/>
          <v:imagedata o:title=""/>
          <o:lock v:ext="edit" aspectratio="f"/>
          <v:textbox inset="0mm,0mm,0mm,0mm" style="mso-fit-shape-to-text:t;">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- 3 -</w:t>
                </w:r>
                <w:r>
                  <w:rPr>
                    <w:rFonts w:hint="eastAsia" w:asciiTheme="minorEastAsia" w:hAnsiTheme="minorEastAsia" w:eastAsiaTheme="minorEastAsia" w:cstheme="minorEastAsia"/>
                    <w:sz w:val="28"/>
                    <w:szCs w:val="28"/>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both"/>
      <w:rPr>
        <w:rFonts w:hint="default"/>
      </w:rPr>
    </w:pPr>
    <w:r>
      <w:rPr>
        <w:rFonts w:hint="default"/>
      </w:rPr>
      <w:pict>
        <v:shape id="_x0000_s1030" o:spid="_x0000_s1030" o:spt="202" type="#_x0000_t202" style="position:absolute;left:0pt;margin-top:0pt;height:144pt;width:144pt;mso-position-horizontal:outside;mso-position-horizontal-relative:margin;mso-wrap-style:none;z-index:251658240;mso-width-relative:page;mso-height-relative:page;" filled="f" stroked="f" coordsize="21600,21600" o:allowoverlap="f">
          <v:path/>
          <v:fill on="f" focussize="0,0"/>
          <v:stroke on="f" weight="0.5pt"/>
          <v:imagedata o:title=""/>
          <o:lock v:ext="edit" aspectratio="f"/>
          <v:textbox inset="0mm,0mm,0mm,0mm" style="mso-fit-shape-to-text:t;">
            <w:txbxContent>
              <w:p>
                <w:pPr>
                  <w:pStyle w:val="3"/>
                  <w:rPr>
                    <w:rFonts w:hint="default"/>
                  </w:rPr>
                </w:pPr>
                <w:r>
                  <w:t xml:space="preserve"> </w:t>
                </w:r>
                <w:r>
                  <w:fldChar w:fldCharType="begin"/>
                </w:r>
                <w:r>
                  <w:instrText xml:space="preserve">PAGE   \* MERGEFORMAT</w:instrText>
                </w:r>
                <w:r>
                  <w:fldChar w:fldCharType="separate"/>
                </w:r>
                <w:r>
                  <w:rPr>
                    <w:rFonts w:hint="default"/>
                    <w:lang w:val="zh-CN"/>
                  </w:rPr>
                  <w:t>-</w:t>
                </w:r>
                <w:r>
                  <w:rPr>
                    <w:rFonts w:hint="default"/>
                  </w:rPr>
                  <w:t xml:space="preserve"> 16 -</w:t>
                </w:r>
                <w:r>
                  <w:fldChar w:fldCharType="end"/>
                </w:r>
                <w:r>
                  <w:t xml:space="preserve"> </w:t>
                </w:r>
              </w:p>
            </w:txbxContent>
          </v:textbox>
        </v:shape>
      </w:pict>
    </w:r>
    <w:r>
      <w:rPr>
        <w:rFonts w:hint="default"/>
      </w:rPr>
      <w:pict>
        <v:shape id="_x0000_s1029" o:spid="_x0000_s1029" o:spt="202" type="#_x0000_t202" style="position:absolute;left:0pt;margin-top:1160.4pt;height:17.4pt;width:144pt;mso-position-horizontal:center;mso-position-horizontal-relative:margin;mso-position-vertical-relative:page;mso-wrap-style:none;z-index:251656192;mso-width-relative:page;mso-height-relative:page;" filled="f" stroked="f" coordsize="21600,21600" o:allowoverlap="f" o:gfxdata="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B4DVRU2AAAAAoBAAAPAAAAAAAAAAEAIAAAACIAAABkcnMvZG93bnJl&#10;di54bWxQSwECFAAUAAAACACHTuJAW1c5XDYCAABiBAAADgAAAAAAAAABACAAAAAnAQAAZHJzL2Uy&#10;b0RvYy54bWxQSwUGAAAAAAYABgBZAQAAzwUAAAAA&#10;">
          <v:path/>
          <v:fill on="f" focussize="0,0"/>
          <v:stroke on="f" weight="0.5pt" joinstyle="miter"/>
          <v:imagedata o:title=""/>
          <o:lock v:ext="edit"/>
          <v:textbox inset="0mm,0mm,0mm,0mm">
            <w:txbxContent>
              <w:p>
                <w:pPr>
                  <w:pStyle w:val="3"/>
                  <w:jc w:val="both"/>
                  <w:rPr>
                    <w:rFonts w:hint="default" w:cs="宋体"/>
                  </w:rPr>
                </w:pPr>
                <w:r>
                  <w:rPr>
                    <w:rFonts w:cs="宋体"/>
                  </w:rPr>
                  <w:t>— 27.1 —</w:t>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both"/>
      <w:rPr>
        <w:rFonts w:hint="default"/>
      </w:rPr>
    </w:pPr>
    <w:r>
      <w:rPr>
        <w:rFonts w:hint="default"/>
      </w:rPr>
      <w:pict>
        <v:shape id="_x0000_s1028" o:spid="_x0000_s1028" o:spt="202" type="#_x0000_t202" style="position:absolute;left:0pt;margin-top:0pt;height:144pt;width:144pt;mso-position-horizontal:outside;mso-position-horizontal-relative:margin;mso-wrap-style:none;z-index:251658240;mso-width-relative:page;mso-height-relative:page;" filled="f" stroked="f" coordsize="21600,21600" o:allowoverlap="f">
          <v:path/>
          <v:fill on="f" focussize="0,0"/>
          <v:stroke on="f" weight="0.5pt"/>
          <v:imagedata o:title=""/>
          <o:lock v:ext="edit" aspectratio="f"/>
          <v:textbox inset="0mm,0mm,0mm,0mm" style="mso-fit-shape-to-text:t;">
            <w:txbxContent>
              <w:p>
                <w:pPr>
                  <w:pStyle w:val="3"/>
                  <w:rPr>
                    <w:rFonts w:hint="default"/>
                  </w:rPr>
                </w:pPr>
                <w:r>
                  <w:t xml:space="preserve"> </w:t>
                </w:r>
                <w:r>
                  <w:fldChar w:fldCharType="begin"/>
                </w:r>
                <w:r>
                  <w:instrText xml:space="preserve">PAGE   \* MERGEFORMAT</w:instrText>
                </w:r>
                <w:r>
                  <w:fldChar w:fldCharType="separate"/>
                </w:r>
                <w:r>
                  <w:rPr>
                    <w:rFonts w:hint="default"/>
                    <w:lang w:val="zh-CN"/>
                  </w:rPr>
                  <w:t>-</w:t>
                </w:r>
                <w:r>
                  <w:rPr>
                    <w:rFonts w:hint="default"/>
                  </w:rPr>
                  <w:t xml:space="preserve"> 23 -</w:t>
                </w:r>
                <w:r>
                  <w:fldChar w:fldCharType="end"/>
                </w:r>
                <w:r>
                  <w:t xml:space="preserve"> </w:t>
                </w:r>
              </w:p>
            </w:txbxContent>
          </v:textbox>
        </v:shape>
      </w:pict>
    </w:r>
    <w:r>
      <w:rPr>
        <w:rFonts w:hint="default"/>
      </w:rPr>
      <w:pict>
        <v:shape id="_x0000_s1027" o:spid="_x0000_s1027" o:spt="202" type="#_x0000_t202" style="position:absolute;left:0pt;margin-top:1160.4pt;height:17.4pt;width:144pt;mso-position-horizontal:center;mso-position-horizontal-relative:margin;mso-position-vertical-relative:page;mso-wrap-style:none;z-index:251657216;mso-width-relative:page;mso-height-relative:page;" filled="f" stroked="f" coordsize="21600,21600" o:allowoverlap="f" o:gfxdata="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eA1UVNgAAAAKAQAADwAAAAAAAAABACAAAAAiAAAAZHJzL2Rvd25y&#10;ZXYueG1sUEsBAhQAFAAAAAgAh07iQALFEI03AgAAZgQAAA4AAAAAAAAAAQAgAAAAJwEAAGRycy9l&#10;Mm9Eb2MueG1sUEsFBgAAAAAGAAYAWQEAANAFAAAAAA==&#10;">
          <v:path/>
          <v:fill on="f" focussize="0,0"/>
          <v:stroke on="f" weight="0.5pt" joinstyle="miter"/>
          <v:imagedata o:title=""/>
          <o:lock v:ext="edit"/>
          <v:textbox inset="0mm,0mm,0mm,0mm">
            <w:txbxContent>
              <w:p>
                <w:pPr>
                  <w:pStyle w:val="3"/>
                  <w:jc w:val="both"/>
                  <w:rPr>
                    <w:rFonts w:hint="default" w:cs="宋体"/>
                  </w:rPr>
                </w:pPr>
                <w:r>
                  <w:rPr>
                    <w:rFonts w:cs="宋体"/>
                  </w:rPr>
                  <w:t>— 27.1 —</w:t>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tabs>
        <w:tab w:val="left" w:pos="1758"/>
        <w:tab w:val="clear" w:pos="4153"/>
        <w:tab w:val="clear" w:pos="8306"/>
      </w:tabs>
      <w:rPr>
        <w:rFonts w:hint="default"/>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tabs>
        <w:tab w:val="left" w:pos="1758"/>
        <w:tab w:val="clear" w:pos="4153"/>
        <w:tab w:val="clear" w:pos="8306"/>
      </w:tabs>
      <w:rPr>
        <w:rFonts w:hint="defaul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BFDE555"/>
    <w:multiLevelType w:val="singleLevel"/>
    <w:tmpl w:val="EBFDE555"/>
    <w:lvl w:ilvl="0" w:tentative="0">
      <w:start w:val="1"/>
      <w:numFmt w:val="chineseCounting"/>
      <w:suff w:val="nothing"/>
      <w:lvlText w:val="（%1）"/>
      <w:lvlJc w:val="left"/>
      <w:rPr>
        <w:rFonts w:hint="eastAsia"/>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documentProtection w:enforcement="0"/>
  <w:defaultTabStop w:val="420"/>
  <w:drawingGridVerticalSpacing w:val="156"/>
  <w:noPunctuationKerning w:val="true"/>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OGQwYWQ1YTE0ZDA0NjgxYzlhMjZlMDExNTFmMWI3MmEifQ=="/>
  </w:docVars>
  <w:rsids>
    <w:rsidRoot w:val="00B03CCD"/>
    <w:rsid w:val="00500E9F"/>
    <w:rsid w:val="00550ABE"/>
    <w:rsid w:val="007B419D"/>
    <w:rsid w:val="009B67B8"/>
    <w:rsid w:val="00AA531A"/>
    <w:rsid w:val="00AB07CF"/>
    <w:rsid w:val="00B03CCD"/>
    <w:rsid w:val="00FE7556"/>
    <w:rsid w:val="01474EBF"/>
    <w:rsid w:val="01F3521E"/>
    <w:rsid w:val="03E3214F"/>
    <w:rsid w:val="04446191"/>
    <w:rsid w:val="044C50BA"/>
    <w:rsid w:val="06A2550B"/>
    <w:rsid w:val="06DF4F2A"/>
    <w:rsid w:val="06F80EE2"/>
    <w:rsid w:val="07001CCA"/>
    <w:rsid w:val="075678DB"/>
    <w:rsid w:val="07913BAC"/>
    <w:rsid w:val="08051BCA"/>
    <w:rsid w:val="08887FC5"/>
    <w:rsid w:val="08BA052C"/>
    <w:rsid w:val="08DB07BA"/>
    <w:rsid w:val="098305D0"/>
    <w:rsid w:val="09B72B6E"/>
    <w:rsid w:val="0A3851D8"/>
    <w:rsid w:val="0A5C4B69"/>
    <w:rsid w:val="0A841D5D"/>
    <w:rsid w:val="0AEC3BC7"/>
    <w:rsid w:val="0B9335CE"/>
    <w:rsid w:val="0C7927C4"/>
    <w:rsid w:val="0C972BB1"/>
    <w:rsid w:val="0C9B098C"/>
    <w:rsid w:val="0CB95BD9"/>
    <w:rsid w:val="0D11728C"/>
    <w:rsid w:val="0D1D1AF9"/>
    <w:rsid w:val="0D673E11"/>
    <w:rsid w:val="0DA12D06"/>
    <w:rsid w:val="0DB50EFE"/>
    <w:rsid w:val="0DDA54E4"/>
    <w:rsid w:val="0E0B5D8A"/>
    <w:rsid w:val="0E315137"/>
    <w:rsid w:val="0E3A5F83"/>
    <w:rsid w:val="0F083110"/>
    <w:rsid w:val="0F836721"/>
    <w:rsid w:val="0FB767E1"/>
    <w:rsid w:val="103645A3"/>
    <w:rsid w:val="107B59E5"/>
    <w:rsid w:val="11003CB0"/>
    <w:rsid w:val="111445C7"/>
    <w:rsid w:val="1158083A"/>
    <w:rsid w:val="11F03528"/>
    <w:rsid w:val="12C921C4"/>
    <w:rsid w:val="133C3E71"/>
    <w:rsid w:val="13850DCB"/>
    <w:rsid w:val="13871C70"/>
    <w:rsid w:val="13A71CB4"/>
    <w:rsid w:val="13AF1D43"/>
    <w:rsid w:val="13CE1647"/>
    <w:rsid w:val="141A11EA"/>
    <w:rsid w:val="14200702"/>
    <w:rsid w:val="14321A0C"/>
    <w:rsid w:val="148E377E"/>
    <w:rsid w:val="1580711B"/>
    <w:rsid w:val="164440FD"/>
    <w:rsid w:val="189B0D0B"/>
    <w:rsid w:val="194A1770"/>
    <w:rsid w:val="19917D9C"/>
    <w:rsid w:val="19B906A4"/>
    <w:rsid w:val="1A1F744B"/>
    <w:rsid w:val="1A4854EC"/>
    <w:rsid w:val="1B6F15B6"/>
    <w:rsid w:val="1BAA2EDC"/>
    <w:rsid w:val="1C564238"/>
    <w:rsid w:val="1CE157EE"/>
    <w:rsid w:val="1D014A01"/>
    <w:rsid w:val="1D022362"/>
    <w:rsid w:val="1DB7292E"/>
    <w:rsid w:val="1DD26311"/>
    <w:rsid w:val="1EF67CA4"/>
    <w:rsid w:val="1FCD26AF"/>
    <w:rsid w:val="20642787"/>
    <w:rsid w:val="21196FC9"/>
    <w:rsid w:val="21556F04"/>
    <w:rsid w:val="222B4109"/>
    <w:rsid w:val="22403BD3"/>
    <w:rsid w:val="2412732E"/>
    <w:rsid w:val="24B92327"/>
    <w:rsid w:val="2533755C"/>
    <w:rsid w:val="255E6610"/>
    <w:rsid w:val="261E4159"/>
    <w:rsid w:val="26396DF4"/>
    <w:rsid w:val="27167136"/>
    <w:rsid w:val="27B23302"/>
    <w:rsid w:val="28B704A4"/>
    <w:rsid w:val="29090661"/>
    <w:rsid w:val="29310A5F"/>
    <w:rsid w:val="29C37A35"/>
    <w:rsid w:val="29C95E09"/>
    <w:rsid w:val="2A076083"/>
    <w:rsid w:val="2A73162E"/>
    <w:rsid w:val="2B167953"/>
    <w:rsid w:val="2B200583"/>
    <w:rsid w:val="2B8209DE"/>
    <w:rsid w:val="2C161D32"/>
    <w:rsid w:val="2C2D3EC7"/>
    <w:rsid w:val="2C6762A3"/>
    <w:rsid w:val="2D8838DB"/>
    <w:rsid w:val="2D8D2A49"/>
    <w:rsid w:val="2EB63CE5"/>
    <w:rsid w:val="2F5925DB"/>
    <w:rsid w:val="2FA92F7F"/>
    <w:rsid w:val="2FBB33B5"/>
    <w:rsid w:val="2FE029D7"/>
    <w:rsid w:val="2FF06E00"/>
    <w:rsid w:val="304F741E"/>
    <w:rsid w:val="306C7BC2"/>
    <w:rsid w:val="315D199F"/>
    <w:rsid w:val="315F0B22"/>
    <w:rsid w:val="31D84415"/>
    <w:rsid w:val="32285F6F"/>
    <w:rsid w:val="32770556"/>
    <w:rsid w:val="329C0913"/>
    <w:rsid w:val="33047F2D"/>
    <w:rsid w:val="3337290D"/>
    <w:rsid w:val="341B5D8B"/>
    <w:rsid w:val="34750DE0"/>
    <w:rsid w:val="352930DB"/>
    <w:rsid w:val="35573069"/>
    <w:rsid w:val="358C217E"/>
    <w:rsid w:val="359F188C"/>
    <w:rsid w:val="362D2433"/>
    <w:rsid w:val="36C9128A"/>
    <w:rsid w:val="37841E99"/>
    <w:rsid w:val="37BF1123"/>
    <w:rsid w:val="37E95D0A"/>
    <w:rsid w:val="37F26E25"/>
    <w:rsid w:val="38BE4696"/>
    <w:rsid w:val="39166507"/>
    <w:rsid w:val="39B82A39"/>
    <w:rsid w:val="39F33306"/>
    <w:rsid w:val="3B1705E5"/>
    <w:rsid w:val="3B18334B"/>
    <w:rsid w:val="3B36794F"/>
    <w:rsid w:val="3B544954"/>
    <w:rsid w:val="3BF014AD"/>
    <w:rsid w:val="3C6A5B02"/>
    <w:rsid w:val="3D2757A1"/>
    <w:rsid w:val="3D3D4FC4"/>
    <w:rsid w:val="3DDF3AB1"/>
    <w:rsid w:val="3DE60B7E"/>
    <w:rsid w:val="3E1D0952"/>
    <w:rsid w:val="3E247234"/>
    <w:rsid w:val="3E42660A"/>
    <w:rsid w:val="3E7555B1"/>
    <w:rsid w:val="3ED93DFE"/>
    <w:rsid w:val="3F0527E5"/>
    <w:rsid w:val="3F16459E"/>
    <w:rsid w:val="3F3617F2"/>
    <w:rsid w:val="3FDE15A7"/>
    <w:rsid w:val="4004000C"/>
    <w:rsid w:val="40FD5440"/>
    <w:rsid w:val="411B6CE5"/>
    <w:rsid w:val="412070D7"/>
    <w:rsid w:val="41314E40"/>
    <w:rsid w:val="4142353C"/>
    <w:rsid w:val="415C674B"/>
    <w:rsid w:val="426C1EA8"/>
    <w:rsid w:val="42E86A87"/>
    <w:rsid w:val="43136432"/>
    <w:rsid w:val="43770A38"/>
    <w:rsid w:val="443A3B12"/>
    <w:rsid w:val="44A854C2"/>
    <w:rsid w:val="44DD597D"/>
    <w:rsid w:val="44F360C4"/>
    <w:rsid w:val="465B470D"/>
    <w:rsid w:val="469D6AD4"/>
    <w:rsid w:val="47674801"/>
    <w:rsid w:val="48225EF7"/>
    <w:rsid w:val="486B651A"/>
    <w:rsid w:val="495C4A24"/>
    <w:rsid w:val="49F17519"/>
    <w:rsid w:val="4AD70EE7"/>
    <w:rsid w:val="4B523216"/>
    <w:rsid w:val="4B7951CB"/>
    <w:rsid w:val="4B7C315C"/>
    <w:rsid w:val="4B8B301A"/>
    <w:rsid w:val="4BAB7F90"/>
    <w:rsid w:val="4DAC4ACA"/>
    <w:rsid w:val="4E2C0BFF"/>
    <w:rsid w:val="4EA742B3"/>
    <w:rsid w:val="4F186D58"/>
    <w:rsid w:val="4F234295"/>
    <w:rsid w:val="50EC262C"/>
    <w:rsid w:val="522F6E0C"/>
    <w:rsid w:val="52463BA1"/>
    <w:rsid w:val="53C0244D"/>
    <w:rsid w:val="53DD4D4E"/>
    <w:rsid w:val="53E578CE"/>
    <w:rsid w:val="543B029D"/>
    <w:rsid w:val="545D0246"/>
    <w:rsid w:val="54703817"/>
    <w:rsid w:val="55313209"/>
    <w:rsid w:val="554E5773"/>
    <w:rsid w:val="555A3CBC"/>
    <w:rsid w:val="555D2250"/>
    <w:rsid w:val="56530F5D"/>
    <w:rsid w:val="5842572D"/>
    <w:rsid w:val="59232E69"/>
    <w:rsid w:val="5ABF3DD2"/>
    <w:rsid w:val="5AE75037"/>
    <w:rsid w:val="5B171EDE"/>
    <w:rsid w:val="5B58571C"/>
    <w:rsid w:val="5B8376C2"/>
    <w:rsid w:val="5B96133A"/>
    <w:rsid w:val="5C1336B7"/>
    <w:rsid w:val="5C263CE4"/>
    <w:rsid w:val="5C57280E"/>
    <w:rsid w:val="5C5D2777"/>
    <w:rsid w:val="5D290C69"/>
    <w:rsid w:val="5D537F41"/>
    <w:rsid w:val="5EFA176D"/>
    <w:rsid w:val="5F0247F9"/>
    <w:rsid w:val="5F2D4A41"/>
    <w:rsid w:val="601C34ED"/>
    <w:rsid w:val="609646AA"/>
    <w:rsid w:val="60A958A9"/>
    <w:rsid w:val="60D22ADB"/>
    <w:rsid w:val="61025A59"/>
    <w:rsid w:val="613D5BBC"/>
    <w:rsid w:val="61536C39"/>
    <w:rsid w:val="62296B0D"/>
    <w:rsid w:val="6276549F"/>
    <w:rsid w:val="62944DD7"/>
    <w:rsid w:val="633E1C9D"/>
    <w:rsid w:val="634D1435"/>
    <w:rsid w:val="63620331"/>
    <w:rsid w:val="63783F75"/>
    <w:rsid w:val="63C25DC5"/>
    <w:rsid w:val="63C62057"/>
    <w:rsid w:val="63C73832"/>
    <w:rsid w:val="64751C2F"/>
    <w:rsid w:val="64FB113D"/>
    <w:rsid w:val="656152C6"/>
    <w:rsid w:val="6587477F"/>
    <w:rsid w:val="658C3A08"/>
    <w:rsid w:val="65C031CA"/>
    <w:rsid w:val="65C84645"/>
    <w:rsid w:val="65CE6852"/>
    <w:rsid w:val="66267C04"/>
    <w:rsid w:val="662B2712"/>
    <w:rsid w:val="663F505A"/>
    <w:rsid w:val="665C1999"/>
    <w:rsid w:val="667F2393"/>
    <w:rsid w:val="66C83D52"/>
    <w:rsid w:val="66E31380"/>
    <w:rsid w:val="66EE5541"/>
    <w:rsid w:val="676B6FB9"/>
    <w:rsid w:val="68D86C5C"/>
    <w:rsid w:val="692172FD"/>
    <w:rsid w:val="6A3829EE"/>
    <w:rsid w:val="6B0A3E88"/>
    <w:rsid w:val="6B474EF5"/>
    <w:rsid w:val="6BCA6A4E"/>
    <w:rsid w:val="6C560CAE"/>
    <w:rsid w:val="6CA02130"/>
    <w:rsid w:val="6D0615E4"/>
    <w:rsid w:val="6D205184"/>
    <w:rsid w:val="6D843E38"/>
    <w:rsid w:val="6D903FF5"/>
    <w:rsid w:val="6DA955B8"/>
    <w:rsid w:val="6DB36F55"/>
    <w:rsid w:val="6DB54699"/>
    <w:rsid w:val="6DE346AB"/>
    <w:rsid w:val="6EAE7221"/>
    <w:rsid w:val="6F1E4C2C"/>
    <w:rsid w:val="6F7F6A2D"/>
    <w:rsid w:val="6FB442D1"/>
    <w:rsid w:val="6FFB2E76"/>
    <w:rsid w:val="7047664D"/>
    <w:rsid w:val="705773B7"/>
    <w:rsid w:val="71C34D91"/>
    <w:rsid w:val="71ED38AA"/>
    <w:rsid w:val="720229AA"/>
    <w:rsid w:val="72C54778"/>
    <w:rsid w:val="72DB435C"/>
    <w:rsid w:val="743D52D7"/>
    <w:rsid w:val="750837F0"/>
    <w:rsid w:val="764F62AB"/>
    <w:rsid w:val="765C45EC"/>
    <w:rsid w:val="768A7619"/>
    <w:rsid w:val="76E14979"/>
    <w:rsid w:val="77EA362A"/>
    <w:rsid w:val="7875383E"/>
    <w:rsid w:val="795804B5"/>
    <w:rsid w:val="796D60A4"/>
    <w:rsid w:val="79A031D5"/>
    <w:rsid w:val="7A06652F"/>
    <w:rsid w:val="7A1525F7"/>
    <w:rsid w:val="7A3E6CB6"/>
    <w:rsid w:val="7A680D2D"/>
    <w:rsid w:val="7AB37AF8"/>
    <w:rsid w:val="7B420052"/>
    <w:rsid w:val="7B561F80"/>
    <w:rsid w:val="7BD06A28"/>
    <w:rsid w:val="7C1E4CD7"/>
    <w:rsid w:val="7C3A7C0B"/>
    <w:rsid w:val="7C5248E4"/>
    <w:rsid w:val="7C566698"/>
    <w:rsid w:val="7FA960B8"/>
    <w:rsid w:val="7FAC7B03"/>
    <w:rsid w:val="BF7C45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99"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99"/>
    <w:rPr>
      <w:rFonts w:hint="eastAsia" w:ascii="宋体" w:hAnsi="宋体" w:eastAsia="宋体" w:cs="Times New Roman"/>
      <w:sz w:val="24"/>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style>
  <w:style w:type="paragraph" w:styleId="3">
    <w:name w:val="footer"/>
    <w:basedOn w:val="1"/>
    <w:qFormat/>
    <w:uiPriority w:val="0"/>
    <w:pPr>
      <w:tabs>
        <w:tab w:val="center" w:pos="4153"/>
        <w:tab w:val="right" w:pos="8306"/>
      </w:tabs>
      <w:snapToGrid w:val="0"/>
    </w:pPr>
    <w:rPr>
      <w:sz w:val="18"/>
      <w:szCs w:val="18"/>
    </w:rPr>
  </w:style>
  <w:style w:type="paragraph" w:styleId="4">
    <w:name w:val="header"/>
    <w:basedOn w:val="1"/>
    <w:qFormat/>
    <w:uiPriority w:val="0"/>
    <w:pPr>
      <w:tabs>
        <w:tab w:val="center" w:pos="4153"/>
        <w:tab w:val="right" w:pos="8306"/>
      </w:tabs>
      <w:snapToGrid w:val="0"/>
      <w:jc w:val="center"/>
    </w:pPr>
    <w:rPr>
      <w:sz w:val="18"/>
      <w:szCs w:val="18"/>
    </w:r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6">
    <w:name w:val="Normal (Web)"/>
    <w:basedOn w:val="1"/>
    <w:unhideWhenUsed/>
    <w:qFormat/>
    <w:uiPriority w:val="0"/>
    <w:pPr>
      <w:spacing w:before="100" w:beforeAutospacing="1" w:after="100" w:afterAutospacing="1"/>
    </w:pPr>
  </w:style>
  <w:style w:type="character" w:styleId="9">
    <w:name w:val="Strong"/>
    <w:qFormat/>
    <w:uiPriority w:val="0"/>
    <w:rPr>
      <w:b/>
    </w:rPr>
  </w:style>
  <w:style w:type="paragraph" w:customStyle="1" w:styleId="10">
    <w:name w:val="列出段落1"/>
    <w:basedOn w:val="1"/>
    <w:qFormat/>
    <w:uiPriority w:val="99"/>
    <w:pPr>
      <w:ind w:firstLine="420" w:firstLineChars="200"/>
    </w:pPr>
    <w:rPr>
      <w:rFonts w:hint="default"/>
    </w:rPr>
  </w:style>
  <w:style w:type="paragraph" w:customStyle="1" w:styleId="11">
    <w:name w:val="普通(网站) Char"/>
    <w:qFormat/>
    <w:uiPriority w:val="0"/>
    <w:pPr>
      <w:spacing w:before="100" w:beforeAutospacing="1" w:after="100" w:afterAutospacing="1"/>
    </w:pPr>
    <w:rPr>
      <w:rFonts w:ascii="宋体" w:hAnsi="宋体" w:eastAsia="宋体" w:cs="Times New Roman"/>
      <w:sz w:val="24"/>
      <w:szCs w:val="24"/>
      <w:lang w:val="en-US" w:eastAsia="zh-CN" w:bidi="ar-SA"/>
    </w:rPr>
  </w:style>
  <w:style w:type="character" w:customStyle="1" w:styleId="12">
    <w:name w:val="21"/>
    <w:qFormat/>
    <w:uiPriority w:val="0"/>
    <w:rPr>
      <w:rFonts w:hint="default" w:ascii="Wingdings" w:hAnsi="Wingdings" w:cs="Wingdings"/>
      <w:b/>
      <w:bCs/>
    </w:rPr>
  </w:style>
  <w:style w:type="paragraph" w:customStyle="1" w:styleId="13">
    <w:name w:val="列出段落2"/>
    <w:qFormat/>
    <w:uiPriority w:val="99"/>
    <w:pPr>
      <w:ind w:firstLine="420" w:firstLineChars="200"/>
    </w:pPr>
    <w:rPr>
      <w:rFonts w:hint="eastAsia" w:ascii="宋体" w:hAnsi="宋体" w:eastAsia="宋体" w:cs="Times New Roman"/>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Info spid="_x0000_s1030"/>
    <customShpInfo spid="_x0000_s1029"/>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25</Pages>
  <Words>10861</Words>
  <Characters>11183</Characters>
  <Lines>93</Lines>
  <Paragraphs>43</Paragraphs>
  <TotalTime>282</TotalTime>
  <ScaleCrop>false</ScaleCrop>
  <LinksUpToDate>false</LinksUpToDate>
  <CharactersWithSpaces>22001</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2024-07-11T10:00:00Z</dcterms:created>
  <dc:creator>Administrator</dc:creator>
  <cp:lastModifiedBy>user</cp:lastModifiedBy>
  <dcterms:modified xsi:type="dcterms:W3CDTF">2026-10-14T11:07:23Z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31B7353571E2426DB00822CAC039C6A0</vt:lpwstr>
  </property>
  <property fmtid="{D5CDD505-2E9C-101B-9397-08002B2CF9AE}" pid="4" name="KSOTemplateDocerSaveRecord">
    <vt:lpwstr>eyJoZGlkIjoiOWY1MDU1ZGY0ZDFlZmY2NGMwYzVhNGZmNzFiMGM1M2MiLCJ1c2VySWQiOiI3ODAyOTU3MzYifQ==</vt:lpwstr>
  </property>
</Properties>
</file>