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08021">
      <w:pPr>
        <w:spacing w:line="240" w:lineRule="exact"/>
        <w:jc w:val="center"/>
        <w:rPr>
          <w:color w:val="000000"/>
        </w:rPr>
      </w:pPr>
      <w:r>
        <mc:AlternateContent>
          <mc:Choice Requires="wps">
            <w:drawing>
              <wp:anchor distT="0" distB="0" distL="114300" distR="114300" simplePos="0" relativeHeight="251661312" behindDoc="0" locked="0" layoutInCell="1" allowOverlap="1">
                <wp:simplePos x="0" y="0"/>
                <wp:positionH relativeFrom="column">
                  <wp:posOffset>-147320</wp:posOffset>
                </wp:positionH>
                <wp:positionV relativeFrom="page">
                  <wp:posOffset>1001395</wp:posOffset>
                </wp:positionV>
                <wp:extent cx="5894070" cy="847725"/>
                <wp:effectExtent l="0" t="0" r="11430" b="9525"/>
                <wp:wrapNone/>
                <wp:docPr id="2" name="文本框 2"/>
                <wp:cNvGraphicFramePr/>
                <a:graphic xmlns:a="http://schemas.openxmlformats.org/drawingml/2006/main">
                  <a:graphicData uri="http://schemas.microsoft.com/office/word/2010/wordprocessingShape">
                    <wps:wsp>
                      <wps:cNvSpPr txBox="1"/>
                      <wps:spPr>
                        <a:xfrm>
                          <a:off x="975360" y="1001395"/>
                          <a:ext cx="5894070" cy="847725"/>
                        </a:xfrm>
                        <a:prstGeom prst="rect">
                          <a:avLst/>
                        </a:prstGeom>
                        <a:solidFill>
                          <a:srgbClr val="CCE8CF"/>
                        </a:solidFill>
                        <a:ln w="6350">
                          <a:noFill/>
                        </a:ln>
                        <a:effectLst/>
                      </wps:spPr>
                      <wps:txbx>
                        <w:txbxContent>
                          <w:p w14:paraId="6B1EB3BF">
                            <w:pPr>
                              <w:tabs>
                                <w:tab w:val="left" w:pos="8690"/>
                              </w:tabs>
                              <w:spacing w:line="1180" w:lineRule="exact"/>
                              <w:jc w:val="center"/>
                              <w:rPr>
                                <w:rFonts w:ascii="方正小标宋_GBK" w:eastAsia="方正小标宋_GBK"/>
                                <w:b/>
                                <w:bCs/>
                                <w:color w:val="FF0000"/>
                                <w:spacing w:val="20"/>
                                <w:w w:val="43"/>
                                <w:sz w:val="108"/>
                                <w:szCs w:val="108"/>
                              </w:rPr>
                            </w:pPr>
                            <w:r>
                              <w:rPr>
                                <w:rFonts w:hint="eastAsia" w:ascii="方正小标宋_GBK" w:eastAsia="方正小标宋_GBK"/>
                                <w:b/>
                                <w:bCs/>
                                <w:color w:val="FF0000"/>
                                <w:spacing w:val="23"/>
                                <w:w w:val="43"/>
                                <w:sz w:val="108"/>
                                <w:szCs w:val="108"/>
                              </w:rPr>
                              <w:t>重庆市涪陵区人民政府义和街道办事处</w:t>
                            </w:r>
                          </w:p>
                          <w:p w14:paraId="4EA0385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6pt;margin-top:78.85pt;height:66.75pt;width:464.1pt;mso-position-vertical-relative:page;z-index:251661312;mso-width-relative:page;mso-height-relative:page;" fillcolor="#CCE8CF" filled="t" stroked="f" coordsize="21600,21600" o:gfxdata="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eO7hB2QAAAAsBAAAPAAAAAAAAAAEAIAAAACIAAABkcnMvZG93bnJldi54bWxQSwEC&#10;FAAUAAAACACHTuJAJ2fE4mUCAACoBAAADgAAAAAAAAABACAAAAAoAQAAZHJzL2Uyb0RvYy54bWxQ&#10;SwUGAAAAAAYABgBZAQAA/wUAAAAA&#10;">
                <v:fill on="t" focussize="0,0"/>
                <v:stroke on="f" weight="0.5pt"/>
                <v:imagedata o:title=""/>
                <o:lock v:ext="edit" aspectratio="f"/>
                <v:textbox>
                  <w:txbxContent>
                    <w:p w14:paraId="6B1EB3BF">
                      <w:pPr>
                        <w:tabs>
                          <w:tab w:val="left" w:pos="8690"/>
                        </w:tabs>
                        <w:spacing w:line="1180" w:lineRule="exact"/>
                        <w:jc w:val="center"/>
                        <w:rPr>
                          <w:rFonts w:ascii="方正小标宋_GBK" w:eastAsia="方正小标宋_GBK"/>
                          <w:b/>
                          <w:bCs/>
                          <w:color w:val="FF0000"/>
                          <w:spacing w:val="20"/>
                          <w:w w:val="43"/>
                          <w:sz w:val="108"/>
                          <w:szCs w:val="108"/>
                        </w:rPr>
                      </w:pPr>
                      <w:r>
                        <w:rPr>
                          <w:rFonts w:hint="eastAsia" w:ascii="方正小标宋_GBK" w:eastAsia="方正小标宋_GBK"/>
                          <w:b/>
                          <w:bCs/>
                          <w:color w:val="FF0000"/>
                          <w:spacing w:val="23"/>
                          <w:w w:val="43"/>
                          <w:sz w:val="108"/>
                          <w:szCs w:val="108"/>
                        </w:rPr>
                        <w:t>重庆市涪陵区人民政府义和街道办事处</w:t>
                      </w:r>
                    </w:p>
                    <w:p w14:paraId="4EA03853"/>
                  </w:txbxContent>
                </v:textbox>
              </v:shape>
            </w:pict>
          </mc:Fallback>
        </mc:AlternateContent>
      </w:r>
      <w:r>
        <w:rPr>
          <w:color w:val="000000"/>
        </w:rPr>
        <mc:AlternateContent>
          <mc:Choice Requires="wps">
            <w:drawing>
              <wp:anchor distT="0" distB="0" distL="114300" distR="114300" simplePos="0" relativeHeight="251659264" behindDoc="0" locked="0" layoutInCell="1" allowOverlap="1">
                <wp:simplePos x="0" y="0"/>
                <wp:positionH relativeFrom="page">
                  <wp:posOffset>720090</wp:posOffset>
                </wp:positionH>
                <wp:positionV relativeFrom="page">
                  <wp:posOffset>1898650</wp:posOffset>
                </wp:positionV>
                <wp:extent cx="6120130" cy="0"/>
                <wp:effectExtent l="0" t="38100" r="13970" b="38100"/>
                <wp:wrapNone/>
                <wp:docPr id="4" name="直线 14"/>
                <wp:cNvGraphicFramePr/>
                <a:graphic xmlns:a="http://schemas.openxmlformats.org/drawingml/2006/main">
                  <a:graphicData uri="http://schemas.microsoft.com/office/word/2010/wordprocessingShape">
                    <wps:wsp>
                      <wps:cNvCnPr/>
                      <wps:spPr>
                        <a:xfrm>
                          <a:off x="0" y="0"/>
                          <a:ext cx="6120130" cy="0"/>
                        </a:xfrm>
                        <a:prstGeom prst="line">
                          <a:avLst/>
                        </a:prstGeom>
                        <a:ln w="76200" cap="flat" cmpd="thickThin">
                          <a:solidFill>
                            <a:srgbClr val="FF0000"/>
                          </a:solidFill>
                          <a:prstDash val="solid"/>
                          <a:headEnd type="none" w="med" len="med"/>
                          <a:tailEnd type="none" w="med" len="med"/>
                        </a:ln>
                        <a:effectLst/>
                      </wps:spPr>
                      <wps:bodyPr upright="1"/>
                    </wps:wsp>
                  </a:graphicData>
                </a:graphic>
              </wp:anchor>
            </w:drawing>
          </mc:Choice>
          <mc:Fallback>
            <w:pict>
              <v:line id="直线 14" o:spid="_x0000_s1026" o:spt="20" style="position:absolute;left:0pt;margin-left:56.7pt;margin-top:149.5pt;height:0pt;width:481.9pt;mso-position-horizontal-relative:page;mso-position-vertical-relative:page;z-index:251659264;mso-width-relative:page;mso-height-relative:page;" filled="f" stroked="t" coordsize="21600,21600" o:gfxdata="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TWiuC2QAAAAwBAAAPAAAAAAAAAAEAIAAAACIAAABkcnMvZG93bnJldi54bWxQSwEC&#10;FAAUAAAACACHTuJAU37+KfMBAADxAwAADgAAAAAAAAABACAAAAAoAQAAZHJzL2Uyb0RvYy54bWxQ&#10;SwUGAAAAAAYABgBZAQAAjQUAAAAA&#10;">
                <v:fill on="f" focussize="0,0"/>
                <v:stroke weight="6pt" color="#FF0000" linestyle="thickThin" joinstyle="round"/>
                <v:imagedata o:title=""/>
                <o:lock v:ext="edit" aspectratio="f"/>
              </v:line>
            </w:pict>
          </mc:Fallback>
        </mc:AlternateContent>
      </w:r>
    </w:p>
    <w:p w14:paraId="79AFFAFA">
      <w:pPr>
        <w:spacing w:line="580" w:lineRule="exact"/>
      </w:pPr>
    </w:p>
    <w:p w14:paraId="3298889E">
      <w:pPr>
        <w:spacing w:line="580" w:lineRule="exact"/>
      </w:pPr>
      <w:r>
        <mc:AlternateContent>
          <mc:Choice Requires="wps">
            <w:drawing>
              <wp:anchor distT="0" distB="0" distL="114300" distR="114300" simplePos="0" relativeHeight="251660288" behindDoc="0" locked="0" layoutInCell="1" allowOverlap="1">
                <wp:simplePos x="0" y="0"/>
                <wp:positionH relativeFrom="column">
                  <wp:posOffset>4097655</wp:posOffset>
                </wp:positionH>
                <wp:positionV relativeFrom="page">
                  <wp:posOffset>1983105</wp:posOffset>
                </wp:positionV>
                <wp:extent cx="1464310" cy="419100"/>
                <wp:effectExtent l="0" t="0" r="0" b="0"/>
                <wp:wrapNone/>
                <wp:docPr id="1" name="文本框 1"/>
                <wp:cNvGraphicFramePr/>
                <a:graphic xmlns:a="http://schemas.openxmlformats.org/drawingml/2006/main">
                  <a:graphicData uri="http://schemas.microsoft.com/office/word/2010/wordprocessingShape">
                    <wps:wsp>
                      <wps:cNvSpPr txBox="1"/>
                      <wps:spPr>
                        <a:xfrm>
                          <a:off x="4914265" y="2172970"/>
                          <a:ext cx="1464310" cy="419100"/>
                        </a:xfrm>
                        <a:prstGeom prst="rect">
                          <a:avLst/>
                        </a:prstGeom>
                        <a:noFill/>
                        <a:ln w="6350">
                          <a:noFill/>
                        </a:ln>
                        <a:effectLst/>
                      </wps:spPr>
                      <wps:txbx>
                        <w:txbxContent>
                          <w:p w14:paraId="46D67843">
                            <w:r>
                              <w:rPr>
                                <w:rFonts w:hint="eastAsia"/>
                              </w:rPr>
                              <w:t>〔2</w:t>
                            </w:r>
                            <w:r>
                              <w:t>02</w:t>
                            </w:r>
                            <w:r>
                              <w:rPr>
                                <w:rFonts w:hint="eastAsia"/>
                              </w:rPr>
                              <w:t>6〕</w:t>
                            </w:r>
                            <w:r>
                              <w:rPr>
                                <w:rFonts w:eastAsia="汉仪方隶简"/>
                                <w:szCs w:val="32"/>
                              </w:rPr>
                              <w:t>－</w:t>
                            </w:r>
                            <w:r>
                              <w:rPr>
                                <w:rFonts w:hint="eastAsia" w:eastAsia="汉仪方隶简"/>
                                <w:szCs w:val="32"/>
                              </w:rPr>
                              <w:t>51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65pt;margin-top:156.15pt;height:33pt;width:115.3pt;mso-position-vertical-relative:page;z-index:251660288;mso-width-relative:page;mso-height-relative:page;" filled="f" stroked="f" coordsize="21600,21600" o:gfxdata="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7mTTfcAAAACwEAAA8A&#10;AAAAAAAAAQAgAAAAIgAAAGRycy9kb3ducmV2LnhtbFBLAQIUABQAAAAIAIdO4kBCK3FFTAIAAIAE&#10;AAAOAAAAAAAAAAEAIAAAACsBAABkcnMvZTJvRG9jLnhtbFBLBQYAAAAABgAGAFkBAADpBQAAAAA=&#10;">
                <v:fill on="f" focussize="0,0"/>
                <v:stroke on="f" weight="0.5pt"/>
                <v:imagedata o:title=""/>
                <o:lock v:ext="edit" aspectratio="f"/>
                <v:textbox>
                  <w:txbxContent>
                    <w:p w14:paraId="46D67843">
                      <w:r>
                        <w:rPr>
                          <w:rFonts w:hint="eastAsia"/>
                        </w:rPr>
                        <w:t>〔2</w:t>
                      </w:r>
                      <w:r>
                        <w:t>02</w:t>
                      </w:r>
                      <w:r>
                        <w:rPr>
                          <w:rFonts w:hint="eastAsia"/>
                        </w:rPr>
                        <w:t>6〕</w:t>
                      </w:r>
                      <w:r>
                        <w:rPr>
                          <w:rFonts w:eastAsia="汉仪方隶简"/>
                          <w:szCs w:val="32"/>
                        </w:rPr>
                        <w:t>－</w:t>
                      </w:r>
                      <w:r>
                        <w:rPr>
                          <w:rFonts w:hint="eastAsia" w:eastAsia="汉仪方隶简"/>
                          <w:szCs w:val="32"/>
                        </w:rPr>
                        <w:t>51</w:t>
                      </w:r>
                    </w:p>
                  </w:txbxContent>
                </v:textbox>
              </v:shape>
            </w:pict>
          </mc:Fallback>
        </mc:AlternateContent>
      </w:r>
    </w:p>
    <w:p w14:paraId="6C15898D">
      <w:pPr>
        <w:spacing w:line="580" w:lineRule="exact"/>
        <w:rPr>
          <w:rFonts w:eastAsia="方正小标宋_GBK"/>
          <w:sz w:val="44"/>
          <w:szCs w:val="44"/>
        </w:rPr>
      </w:pPr>
    </w:p>
    <w:p w14:paraId="51D51A66">
      <w:pPr>
        <w:spacing w:line="700" w:lineRule="exact"/>
        <w:jc w:val="center"/>
        <w:rPr>
          <w:rFonts w:ascii="方正小标宋_GBK" w:eastAsia="方正小标宋_GBK"/>
          <w:sz w:val="44"/>
          <w:szCs w:val="44"/>
        </w:rPr>
      </w:pPr>
      <w:r>
        <w:rPr>
          <w:rFonts w:hint="eastAsia" w:ascii="方正小标宋_GBK" w:eastAsia="方正小标宋_GBK"/>
          <w:sz w:val="44"/>
          <w:szCs w:val="44"/>
        </w:rPr>
        <w:t>重庆市涪陵区人民政府义和街道办事处</w:t>
      </w:r>
    </w:p>
    <w:p w14:paraId="03CB11BF">
      <w:pPr>
        <w:spacing w:line="700" w:lineRule="exact"/>
        <w:jc w:val="center"/>
        <w:rPr>
          <w:rFonts w:ascii="方正小标宋_GBK" w:eastAsia="方正小标宋_GBK"/>
          <w:sz w:val="44"/>
          <w:szCs w:val="44"/>
        </w:rPr>
      </w:pPr>
      <w:r>
        <w:rPr>
          <w:rFonts w:hint="eastAsia" w:ascii="方正小标宋_GBK" w:eastAsia="方正小标宋_GBK"/>
          <w:sz w:val="44"/>
          <w:szCs w:val="44"/>
        </w:rPr>
        <w:t>关于印发《</w:t>
      </w:r>
      <w:bookmarkStart w:id="0" w:name="OLE_LINK9"/>
      <w:bookmarkStart w:id="1" w:name="OLE_LINK10"/>
      <w:r>
        <w:rPr>
          <w:rFonts w:hint="eastAsia" w:ascii="方正小标宋_GBK" w:eastAsia="方正小标宋_GBK"/>
          <w:sz w:val="44"/>
          <w:szCs w:val="44"/>
        </w:rPr>
        <w:t>涪陵区义和街道森林防火</w:t>
      </w:r>
    </w:p>
    <w:p w14:paraId="18C0795B">
      <w:pPr>
        <w:spacing w:line="700" w:lineRule="exact"/>
        <w:jc w:val="center"/>
        <w:rPr>
          <w:rFonts w:ascii="方正小标宋_GBK" w:eastAsia="方正小标宋_GBK"/>
          <w:sz w:val="44"/>
          <w:szCs w:val="44"/>
        </w:rPr>
      </w:pPr>
      <w:r>
        <w:rPr>
          <w:rFonts w:hint="eastAsia" w:ascii="方正小标宋_GBK" w:eastAsia="方正小标宋_GBK"/>
          <w:sz w:val="44"/>
          <w:szCs w:val="44"/>
        </w:rPr>
        <w:t>领域群防群治百日攻坚行动方案</w:t>
      </w:r>
      <w:bookmarkEnd w:id="0"/>
      <w:bookmarkEnd w:id="1"/>
      <w:r>
        <w:rPr>
          <w:rFonts w:hint="eastAsia" w:ascii="方正小标宋_GBK" w:eastAsia="方正小标宋_GBK"/>
          <w:sz w:val="44"/>
          <w:szCs w:val="44"/>
        </w:rPr>
        <w:t>》的通知</w:t>
      </w:r>
    </w:p>
    <w:p w14:paraId="0014EB00">
      <w:pPr>
        <w:spacing w:line="579" w:lineRule="exact"/>
      </w:pPr>
    </w:p>
    <w:p w14:paraId="2BAC15FC">
      <w:pPr>
        <w:spacing w:line="579" w:lineRule="exact"/>
        <w:rPr>
          <w:rFonts w:ascii="方正仿宋_GBK" w:hAnsi="方正仿宋_GBK" w:cs="方正仿宋_GBK"/>
          <w:color w:val="000000"/>
        </w:rPr>
      </w:pPr>
      <w:r>
        <w:rPr>
          <w:rFonts w:hint="eastAsia" w:ascii="方正仿宋_GBK" w:hAnsi="方正仿宋_GBK" w:cs="方正仿宋_GBK"/>
          <w:color w:val="000000"/>
          <w:spacing w:val="-17"/>
        </w:rPr>
        <w:t>各村村民委员会，各社区居民委员会，街道各部门，有关单位：</w:t>
      </w:r>
    </w:p>
    <w:p w14:paraId="40E46F37">
      <w:pPr>
        <w:pStyle w:val="2"/>
        <w:spacing w:before="6" w:line="579" w:lineRule="exact"/>
        <w:ind w:left="1" w:right="149" w:firstLine="640"/>
        <w:jc w:val="both"/>
        <w:rPr>
          <w:sz w:val="32"/>
          <w:szCs w:val="32"/>
          <w:lang w:eastAsia="zh-CN"/>
        </w:rPr>
      </w:pPr>
      <w:r>
        <w:rPr>
          <w:rFonts w:hint="eastAsia"/>
          <w:sz w:val="32"/>
          <w:szCs w:val="32"/>
        </w:rPr>
        <w:t>根据重庆市涪陵区森林草原火灾防治专项委员会办公室关于印发《森林防火领域打好防灾减灾救灾人民战争防范化解重大风险隐患工作方案》</w:t>
      </w:r>
      <w:r>
        <w:rPr>
          <w:rFonts w:hint="eastAsia"/>
          <w:sz w:val="32"/>
          <w:szCs w:val="32"/>
          <w:lang w:eastAsia="zh-CN"/>
        </w:rPr>
        <w:t>及</w:t>
      </w:r>
      <w:r>
        <w:rPr>
          <w:rFonts w:hint="eastAsia"/>
          <w:sz w:val="32"/>
          <w:szCs w:val="32"/>
        </w:rPr>
        <w:t>区百日攻坚行动工作专班</w:t>
      </w:r>
      <w:r>
        <w:rPr>
          <w:rFonts w:hint="eastAsia"/>
          <w:sz w:val="32"/>
          <w:szCs w:val="32"/>
          <w:lang w:eastAsia="zh-CN"/>
        </w:rPr>
        <w:t>工作要求</w:t>
      </w:r>
      <w:r>
        <w:rPr>
          <w:rFonts w:hint="eastAsia"/>
          <w:sz w:val="32"/>
          <w:szCs w:val="32"/>
        </w:rPr>
        <w:t>，结合街道实际，</w:t>
      </w:r>
      <w:bookmarkStart w:id="2" w:name="OLE_LINK8"/>
      <w:bookmarkStart w:id="3" w:name="OLE_LINK11"/>
      <w:r>
        <w:rPr>
          <w:rFonts w:hint="eastAsia"/>
          <w:sz w:val="32"/>
          <w:szCs w:val="32"/>
        </w:rPr>
        <w:t>制定了《</w:t>
      </w:r>
      <w:r>
        <w:rPr>
          <w:rFonts w:hint="eastAsia"/>
          <w:sz w:val="32"/>
          <w:szCs w:val="32"/>
          <w:lang w:eastAsia="zh-CN"/>
        </w:rPr>
        <w:t>涪陵区义和街道</w:t>
      </w:r>
      <w:r>
        <w:rPr>
          <w:rFonts w:hint="eastAsia"/>
          <w:sz w:val="32"/>
          <w:szCs w:val="32"/>
        </w:rPr>
        <w:t>森林防火领域群防群治百日攻坚行动方案》</w:t>
      </w:r>
      <w:bookmarkEnd w:id="2"/>
      <w:bookmarkEnd w:id="3"/>
      <w:r>
        <w:rPr>
          <w:rFonts w:hint="eastAsia"/>
          <w:sz w:val="32"/>
          <w:szCs w:val="32"/>
          <w:lang w:eastAsia="zh-CN"/>
        </w:rPr>
        <w:t>，</w:t>
      </w:r>
      <w:r>
        <w:rPr>
          <w:rFonts w:hint="eastAsia"/>
          <w:sz w:val="32"/>
          <w:szCs w:val="32"/>
        </w:rPr>
        <w:t>现印发给你们</w:t>
      </w:r>
      <w:r>
        <w:rPr>
          <w:rFonts w:hint="eastAsia"/>
          <w:sz w:val="32"/>
          <w:szCs w:val="32"/>
          <w:lang w:eastAsia="zh-CN"/>
        </w:rPr>
        <w:t>，</w:t>
      </w:r>
      <w:r>
        <w:rPr>
          <w:rFonts w:hint="eastAsia"/>
          <w:sz w:val="32"/>
          <w:szCs w:val="32"/>
        </w:rPr>
        <w:t>请结合实际认真抓好落实。</w:t>
      </w:r>
    </w:p>
    <w:p w14:paraId="10F41F20">
      <w:pPr>
        <w:pStyle w:val="2"/>
        <w:spacing w:before="6" w:line="579" w:lineRule="exact"/>
        <w:ind w:left="1" w:right="149" w:firstLine="640"/>
        <w:jc w:val="both"/>
        <w:rPr>
          <w:sz w:val="32"/>
          <w:szCs w:val="32"/>
          <w:lang w:eastAsia="zh-CN"/>
        </w:rPr>
      </w:pPr>
    </w:p>
    <w:p w14:paraId="15EB6D93">
      <w:pPr>
        <w:pStyle w:val="2"/>
        <w:spacing w:before="6" w:line="579" w:lineRule="exact"/>
        <w:ind w:left="1" w:right="149" w:firstLine="640"/>
        <w:jc w:val="both"/>
        <w:rPr>
          <w:sz w:val="32"/>
          <w:szCs w:val="32"/>
          <w:lang w:eastAsia="zh-CN"/>
        </w:rPr>
      </w:pPr>
    </w:p>
    <w:p w14:paraId="7BAF4D56">
      <w:pPr>
        <w:pStyle w:val="2"/>
        <w:spacing w:before="6" w:line="579" w:lineRule="exact"/>
        <w:ind w:left="1" w:right="149" w:firstLine="640"/>
        <w:jc w:val="both"/>
        <w:rPr>
          <w:sz w:val="32"/>
          <w:szCs w:val="32"/>
          <w:lang w:eastAsia="zh-CN"/>
        </w:rPr>
      </w:pPr>
    </w:p>
    <w:p w14:paraId="5737DCE5">
      <w:pPr>
        <w:overflowPunct w:val="0"/>
        <w:topLinePunct/>
        <w:spacing w:line="579" w:lineRule="exact"/>
        <w:ind w:firstLine="3200" w:firstLineChars="1000"/>
      </w:pPr>
      <w:r>
        <w:rPr>
          <w:rFonts w:hint="eastAsia"/>
        </w:rPr>
        <w:t>重庆市涪陵区人民政府义和街道办事处</w:t>
      </w:r>
    </w:p>
    <w:p w14:paraId="594009A6">
      <w:pPr>
        <w:overflowPunct w:val="0"/>
        <w:topLinePunct/>
        <w:spacing w:line="579" w:lineRule="exact"/>
        <w:ind w:firstLine="4800" w:firstLineChars="1500"/>
        <w:rPr>
          <w:rFonts w:ascii="方正仿宋_GBK"/>
          <w:szCs w:val="32"/>
        </w:rPr>
      </w:pPr>
      <w:r>
        <w:rPr>
          <w:rFonts w:hint="eastAsia"/>
        </w:rPr>
        <w:t xml:space="preserve">2026年8月17日   </w:t>
      </w:r>
      <w:r>
        <w:rPr>
          <w:rFonts w:hint="eastAsia" w:ascii="方正仿宋_GBK"/>
          <w:szCs w:val="32"/>
        </w:rPr>
        <w:t xml:space="preserve">      </w:t>
      </w:r>
    </w:p>
    <w:p w14:paraId="68AFC81D">
      <w:pPr>
        <w:overflowPunct w:val="0"/>
        <w:topLinePunct/>
        <w:spacing w:line="579" w:lineRule="exact"/>
        <w:ind w:firstLine="4800" w:firstLineChars="1500"/>
        <w:rPr>
          <w:rFonts w:ascii="方正仿宋_GBK"/>
          <w:szCs w:val="32"/>
        </w:rPr>
      </w:pPr>
    </w:p>
    <w:p w14:paraId="0B4779C2">
      <w:pPr>
        <w:overflowPunct w:val="0"/>
        <w:topLinePunct/>
        <w:spacing w:line="540" w:lineRule="exact"/>
        <w:rPr>
          <w:rFonts w:ascii="方正仿宋_GBK"/>
          <w:szCs w:val="32"/>
        </w:rPr>
      </w:pPr>
    </w:p>
    <w:p w14:paraId="00D390AD">
      <w:pPr>
        <w:overflowPunct w:val="0"/>
        <w:topLinePunct/>
        <w:spacing w:line="540" w:lineRule="exact"/>
        <w:rPr>
          <w:rFonts w:ascii="方正仿宋_GBK"/>
          <w:szCs w:val="32"/>
        </w:rPr>
      </w:pPr>
    </w:p>
    <w:p w14:paraId="4388B4F7">
      <w:pPr>
        <w:overflowPunct w:val="0"/>
        <w:topLinePunct/>
        <w:spacing w:line="540" w:lineRule="exact"/>
        <w:rPr>
          <w:rFonts w:ascii="方正仿宋_GBK"/>
          <w:szCs w:val="32"/>
        </w:rPr>
      </w:pPr>
    </w:p>
    <w:p w14:paraId="0DB24B36">
      <w:pPr>
        <w:spacing w:line="700" w:lineRule="exact"/>
        <w:jc w:val="center"/>
        <w:rPr>
          <w:rFonts w:ascii="方正小标宋_GBK" w:eastAsia="方正小标宋_GBK"/>
          <w:sz w:val="44"/>
          <w:szCs w:val="44"/>
        </w:rPr>
      </w:pPr>
      <w:r>
        <w:rPr>
          <w:rFonts w:hint="eastAsia" w:ascii="方正小标宋_GBK" w:eastAsia="方正小标宋_GBK"/>
          <w:sz w:val="44"/>
          <w:szCs w:val="44"/>
        </w:rPr>
        <w:t>涪陵区义和街道</w:t>
      </w:r>
    </w:p>
    <w:p w14:paraId="18D10FA6">
      <w:pPr>
        <w:spacing w:line="700" w:lineRule="exact"/>
        <w:jc w:val="center"/>
        <w:rPr>
          <w:rFonts w:ascii="方正小标宋_GBK" w:eastAsia="方正小标宋_GBK"/>
          <w:sz w:val="44"/>
          <w:szCs w:val="44"/>
        </w:rPr>
      </w:pPr>
      <w:r>
        <w:rPr>
          <w:rFonts w:hint="eastAsia" w:ascii="方正小标宋_GBK" w:eastAsia="方正小标宋_GBK"/>
          <w:sz w:val="44"/>
          <w:szCs w:val="44"/>
        </w:rPr>
        <w:t>森林防火领域群防群治百日攻坚行动方案</w:t>
      </w:r>
    </w:p>
    <w:p w14:paraId="4C48E411">
      <w:pPr>
        <w:spacing w:line="700" w:lineRule="exact"/>
        <w:jc w:val="center"/>
        <w:rPr>
          <w:rFonts w:ascii="方正小标宋_GBK" w:eastAsia="方正小标宋_GBK"/>
          <w:sz w:val="44"/>
          <w:szCs w:val="44"/>
        </w:rPr>
      </w:pPr>
    </w:p>
    <w:p w14:paraId="27A20E55">
      <w:pPr>
        <w:spacing w:line="579" w:lineRule="exact"/>
        <w:ind w:firstLine="640" w:firstLineChars="200"/>
        <w:rPr>
          <w:rFonts w:ascii="方正仿宋_GBK"/>
        </w:rPr>
      </w:pPr>
      <w:bookmarkStart w:id="4" w:name="OLE_LINK12"/>
      <w:bookmarkStart w:id="5" w:name="OLE_LINK13"/>
      <w:r>
        <w:rPr>
          <w:rFonts w:hint="eastAsia" w:ascii="方正仿宋_GBK"/>
        </w:rPr>
        <w:t>根据重庆市涪陵区森林草原火灾防治专项委员会办公室关于印发《</w:t>
      </w:r>
      <w:bookmarkStart w:id="6" w:name="OLE_LINK2"/>
      <w:bookmarkStart w:id="7" w:name="OLE_LINK3"/>
      <w:r>
        <w:rPr>
          <w:rFonts w:hint="eastAsia" w:ascii="方正仿宋_GBK"/>
        </w:rPr>
        <w:t>森林防火领域</w:t>
      </w:r>
      <w:bookmarkEnd w:id="6"/>
      <w:bookmarkEnd w:id="7"/>
      <w:r>
        <w:rPr>
          <w:rFonts w:hint="eastAsia" w:ascii="方正仿宋_GBK"/>
        </w:rPr>
        <w:t>打好防灾减灾救灾人民战争防范化解重大风险隐患工作方案》</w:t>
      </w:r>
      <w:bookmarkEnd w:id="4"/>
      <w:bookmarkEnd w:id="5"/>
      <w:r>
        <w:rPr>
          <w:rFonts w:hint="eastAsia" w:ascii="方正仿宋_GBK"/>
        </w:rPr>
        <w:t>的通知精神及</w:t>
      </w:r>
      <w:bookmarkStart w:id="8" w:name="OLE_LINK20"/>
      <w:r>
        <w:rPr>
          <w:rFonts w:hint="eastAsia" w:ascii="方正仿宋_GBK"/>
        </w:rPr>
        <w:t>区</w:t>
      </w:r>
      <w:bookmarkStart w:id="9" w:name="OLE_LINK1"/>
      <w:r>
        <w:rPr>
          <w:rFonts w:hint="eastAsia" w:ascii="方正仿宋_GBK"/>
        </w:rPr>
        <w:t>百日攻坚行动</w:t>
      </w:r>
      <w:bookmarkEnd w:id="9"/>
      <w:r>
        <w:rPr>
          <w:rFonts w:hint="eastAsia" w:ascii="方正仿宋_GBK"/>
        </w:rPr>
        <w:t>工作专班</w:t>
      </w:r>
      <w:bookmarkEnd w:id="8"/>
      <w:r>
        <w:rPr>
          <w:rFonts w:hint="eastAsia" w:ascii="方正仿宋_GBK"/>
        </w:rPr>
        <w:t>关于印发《乡镇（街道）灾害事故临灾处置行动规范（参考模板）》的通知中《森林火险预警信号处置行动规范》模板，结合我街道实际，</w:t>
      </w:r>
      <w:r>
        <w:rPr>
          <w:rFonts w:hint="eastAsia" w:ascii="方正仿宋_GBK"/>
          <w:szCs w:val="32"/>
        </w:rPr>
        <w:t>制定了《涪陵区义和街道</w:t>
      </w:r>
      <w:r>
        <w:rPr>
          <w:rFonts w:hint="eastAsia"/>
          <w:szCs w:val="32"/>
        </w:rPr>
        <w:t>森林防火领域群防群治</w:t>
      </w:r>
      <w:r>
        <w:rPr>
          <w:rFonts w:hint="eastAsia" w:ascii="方正仿宋_GBK"/>
          <w:szCs w:val="32"/>
        </w:rPr>
        <w:t>百日攻坚行动方案》</w:t>
      </w:r>
      <w:r>
        <w:rPr>
          <w:rFonts w:hint="eastAsia" w:ascii="方正仿宋_GBK"/>
        </w:rPr>
        <w:t>，明确街道及村（社区）级工作责任，落实具体工作措施，抓好辖区森林防火工作，保森林资源平安。</w:t>
      </w:r>
    </w:p>
    <w:p w14:paraId="299FF258">
      <w:pPr>
        <w:spacing w:line="579" w:lineRule="exact"/>
        <w:ind w:firstLine="640" w:firstLineChars="200"/>
        <w:rPr>
          <w:rFonts w:ascii="方正黑体_GBK" w:eastAsia="方正黑体_GBK"/>
        </w:rPr>
      </w:pPr>
      <w:r>
        <w:rPr>
          <w:rFonts w:hint="eastAsia" w:ascii="方正黑体_GBK" w:eastAsia="方正黑体_GBK"/>
        </w:rPr>
        <w:t>一、工作目标</w:t>
      </w:r>
    </w:p>
    <w:p w14:paraId="51A47196">
      <w:pPr>
        <w:spacing w:line="579" w:lineRule="exact"/>
        <w:ind w:firstLine="640" w:firstLineChars="200"/>
        <w:rPr>
          <w:rFonts w:ascii="方正仿宋_GBK"/>
          <w:szCs w:val="32"/>
        </w:rPr>
      </w:pPr>
      <w:r>
        <w:rPr>
          <w:rFonts w:hint="eastAsia" w:ascii="方正仿宋_GBK"/>
          <w:szCs w:val="32"/>
        </w:rPr>
        <w:t>通过攻坚行动着力筑牢森林防火人民防线，全力抓好</w:t>
      </w:r>
      <w:r>
        <w:rPr>
          <w:rFonts w:hint="eastAsia"/>
          <w:szCs w:val="32"/>
        </w:rPr>
        <w:t>2026</w:t>
      </w:r>
      <w:r>
        <w:rPr>
          <w:rFonts w:hint="eastAsia" w:ascii="方正仿宋_GBK"/>
          <w:szCs w:val="32"/>
        </w:rPr>
        <w:t>年夏季森林火灾防治工作，严防发生森林火灾，杜绝扑救人员伤亡事故，受害面积占比控制在</w:t>
      </w:r>
      <w:r>
        <w:rPr>
          <w:rFonts w:hint="eastAsia"/>
          <w:szCs w:val="32"/>
        </w:rPr>
        <w:t>0</w:t>
      </w:r>
      <w:r>
        <w:rPr>
          <w:rFonts w:hint="eastAsia" w:ascii="方正仿宋_GBK"/>
          <w:szCs w:val="32"/>
        </w:rPr>
        <w:t>.</w:t>
      </w:r>
      <w:r>
        <w:rPr>
          <w:rFonts w:hint="eastAsia"/>
          <w:szCs w:val="32"/>
        </w:rPr>
        <w:t>3</w:t>
      </w:r>
      <w:r>
        <w:rPr>
          <w:rFonts w:hint="eastAsia" w:ascii="方正仿宋_GBK"/>
          <w:szCs w:val="32"/>
        </w:rPr>
        <w:t>‰以下。</w:t>
      </w:r>
    </w:p>
    <w:p w14:paraId="3FD60E20">
      <w:pPr>
        <w:spacing w:line="579" w:lineRule="exact"/>
        <w:ind w:firstLine="640" w:firstLineChars="200"/>
        <w:rPr>
          <w:rFonts w:ascii="方正黑体_GBK" w:eastAsia="方正黑体_GBK"/>
        </w:rPr>
      </w:pPr>
      <w:r>
        <w:rPr>
          <w:rFonts w:hint="eastAsia" w:ascii="方正黑体_GBK" w:eastAsia="方正黑体_GBK"/>
        </w:rPr>
        <w:t>二、重点任务</w:t>
      </w:r>
    </w:p>
    <w:p w14:paraId="44312F8A">
      <w:pPr>
        <w:spacing w:line="579" w:lineRule="exact"/>
        <w:ind w:firstLine="640" w:firstLineChars="200"/>
        <w:rPr>
          <w:rFonts w:ascii="方正仿宋_GBK"/>
          <w:szCs w:val="32"/>
        </w:rPr>
      </w:pPr>
      <w:r>
        <w:rPr>
          <w:rFonts w:hint="eastAsia" w:ascii="方正仿宋_GBK"/>
          <w:szCs w:val="32"/>
        </w:rPr>
        <w:t>深入开展森林火灾防治网格管理、宣传教育、隐患排查、火源管控、数字赋能和火情处理等重点工作，着力构建履职尽责有群众监督、宣传教育有群众受益、火险隐患有群众举报、火源管控有群众参与、火情处理有群众力量的森林防火群防群治新格局。</w:t>
      </w:r>
    </w:p>
    <w:p w14:paraId="6F5A5B40">
      <w:pPr>
        <w:spacing w:line="579" w:lineRule="exact"/>
        <w:ind w:firstLine="640" w:firstLineChars="200"/>
        <w:rPr>
          <w:rFonts w:ascii="方正黑体_GBK" w:eastAsia="方正黑体_GBK"/>
        </w:rPr>
      </w:pPr>
      <w:r>
        <w:rPr>
          <w:rFonts w:hint="eastAsia" w:ascii="方正黑体_GBK" w:eastAsia="方正黑体_GBK"/>
        </w:rPr>
        <w:t>三、工作时限</w:t>
      </w:r>
    </w:p>
    <w:p w14:paraId="1E90E43B">
      <w:pPr>
        <w:spacing w:line="579" w:lineRule="exact"/>
        <w:ind w:firstLine="640" w:firstLineChars="200"/>
        <w:rPr>
          <w:rFonts w:ascii="仿宋_GB2312" w:eastAsia="仿宋_GB2312"/>
          <w:szCs w:val="32"/>
        </w:rPr>
      </w:pPr>
      <w:r>
        <w:rPr>
          <w:rFonts w:hint="eastAsia" w:ascii="方正仿宋_GBK"/>
          <w:szCs w:val="32"/>
        </w:rPr>
        <w:t>为期</w:t>
      </w:r>
      <w:r>
        <w:rPr>
          <w:rFonts w:hint="eastAsia"/>
          <w:szCs w:val="32"/>
        </w:rPr>
        <w:t>100</w:t>
      </w:r>
      <w:r>
        <w:rPr>
          <w:rFonts w:hint="eastAsia" w:ascii="方正仿宋_GBK"/>
          <w:szCs w:val="32"/>
        </w:rPr>
        <w:t>天，分阶段进行。</w:t>
      </w:r>
    </w:p>
    <w:p w14:paraId="711A1783">
      <w:pPr>
        <w:pStyle w:val="2"/>
        <w:spacing w:line="579" w:lineRule="exact"/>
        <w:ind w:left="7" w:right="100" w:firstLine="614"/>
        <w:rPr>
          <w:rFonts w:ascii="方正楷体_GBK" w:hAnsi="Times New Roman" w:eastAsia="方正楷体_GBK" w:cstheme="minorBidi"/>
          <w:snapToGrid/>
          <w:color w:val="auto"/>
          <w:kern w:val="2"/>
          <w:sz w:val="32"/>
          <w:szCs w:val="22"/>
          <w:lang w:eastAsia="zh-CN"/>
        </w:rPr>
      </w:pPr>
      <w:r>
        <w:rPr>
          <w:rFonts w:hint="eastAsia" w:ascii="方正楷体_GBK" w:hAnsi="Times New Roman" w:eastAsia="方正楷体_GBK" w:cstheme="minorBidi"/>
          <w:snapToGrid/>
          <w:color w:val="auto"/>
          <w:kern w:val="2"/>
          <w:sz w:val="32"/>
          <w:szCs w:val="22"/>
          <w:lang w:eastAsia="zh-CN"/>
        </w:rPr>
        <w:t xml:space="preserve">（一）部署发动阶段（ </w:t>
      </w:r>
      <w:r>
        <w:rPr>
          <w:rFonts w:hint="eastAsia" w:ascii="Times New Roman" w:hAnsi="Times New Roman" w:eastAsia="方正楷体_GBK" w:cstheme="minorBidi"/>
          <w:snapToGrid/>
          <w:color w:val="auto"/>
          <w:kern w:val="2"/>
          <w:sz w:val="32"/>
          <w:szCs w:val="22"/>
          <w:lang w:eastAsia="zh-CN"/>
        </w:rPr>
        <w:t>7</w:t>
      </w:r>
      <w:r>
        <w:rPr>
          <w:rFonts w:hint="eastAsia" w:ascii="方正楷体_GBK" w:hAnsi="Times New Roman" w:eastAsia="方正楷体_GBK" w:cstheme="minorBidi"/>
          <w:snapToGrid/>
          <w:color w:val="auto"/>
          <w:kern w:val="2"/>
          <w:sz w:val="32"/>
          <w:szCs w:val="22"/>
          <w:lang w:eastAsia="zh-CN"/>
        </w:rPr>
        <w:t xml:space="preserve">月 </w:t>
      </w:r>
      <w:r>
        <w:rPr>
          <w:rFonts w:hint="eastAsia" w:ascii="Times New Roman" w:hAnsi="Times New Roman" w:eastAsia="方正楷体_GBK" w:cstheme="minorBidi"/>
          <w:snapToGrid/>
          <w:color w:val="auto"/>
          <w:kern w:val="2"/>
          <w:sz w:val="32"/>
          <w:szCs w:val="22"/>
          <w:lang w:eastAsia="zh-CN"/>
        </w:rPr>
        <w:t>24</w:t>
      </w:r>
      <w:r>
        <w:rPr>
          <w:rFonts w:hint="eastAsia" w:ascii="方正楷体_GBK" w:hAnsi="Times New Roman" w:eastAsia="方正楷体_GBK" w:cstheme="minorBidi"/>
          <w:snapToGrid/>
          <w:color w:val="auto"/>
          <w:kern w:val="2"/>
          <w:sz w:val="32"/>
          <w:szCs w:val="22"/>
          <w:lang w:eastAsia="zh-CN"/>
        </w:rPr>
        <w:t>日至</w:t>
      </w:r>
      <w:r>
        <w:rPr>
          <w:rFonts w:hint="eastAsia" w:ascii="Times New Roman" w:hAnsi="Times New Roman" w:eastAsia="方正楷体_GBK" w:cstheme="minorBidi"/>
          <w:snapToGrid/>
          <w:color w:val="auto"/>
          <w:kern w:val="2"/>
          <w:sz w:val="32"/>
          <w:szCs w:val="22"/>
          <w:lang w:eastAsia="zh-CN"/>
        </w:rPr>
        <w:t>31</w:t>
      </w:r>
      <w:r>
        <w:rPr>
          <w:rFonts w:hint="eastAsia" w:ascii="方正楷体_GBK" w:hAnsi="Times New Roman" w:eastAsia="方正楷体_GBK" w:cstheme="minorBidi"/>
          <w:snapToGrid/>
          <w:color w:val="auto"/>
          <w:kern w:val="2"/>
          <w:sz w:val="32"/>
          <w:szCs w:val="22"/>
          <w:lang w:eastAsia="zh-CN"/>
        </w:rPr>
        <w:t>日）</w:t>
      </w:r>
    </w:p>
    <w:p w14:paraId="690D5519">
      <w:pPr>
        <w:spacing w:line="579" w:lineRule="exact"/>
        <w:ind w:firstLine="640" w:firstLineChars="200"/>
        <w:rPr>
          <w:rFonts w:ascii="方正仿宋_GBK"/>
          <w:szCs w:val="32"/>
        </w:rPr>
      </w:pPr>
      <w:r>
        <w:rPr>
          <w:rFonts w:hint="eastAsia" w:ascii="方正仿宋_GBK"/>
          <w:szCs w:val="32"/>
        </w:rPr>
        <w:t>制定印发实施方案，召开动员部署会议，明确任务分工，细化工作措施，全面启动攻坚任务。</w:t>
      </w:r>
    </w:p>
    <w:p w14:paraId="221F69F0">
      <w:pPr>
        <w:pStyle w:val="2"/>
        <w:spacing w:line="579" w:lineRule="exact"/>
        <w:ind w:left="7" w:right="100" w:firstLine="614"/>
        <w:rPr>
          <w:rFonts w:ascii="方正楷体_GBK" w:hAnsi="Times New Roman" w:eastAsia="方正楷体_GBK" w:cstheme="minorBidi"/>
          <w:snapToGrid/>
          <w:color w:val="auto"/>
          <w:kern w:val="2"/>
          <w:sz w:val="32"/>
          <w:szCs w:val="22"/>
          <w:lang w:eastAsia="zh-CN"/>
        </w:rPr>
      </w:pPr>
      <w:r>
        <w:rPr>
          <w:rFonts w:hint="eastAsia" w:ascii="方正楷体_GBK" w:hAnsi="Times New Roman" w:eastAsia="方正楷体_GBK" w:cstheme="minorBidi"/>
          <w:snapToGrid/>
          <w:color w:val="auto"/>
          <w:kern w:val="2"/>
          <w:sz w:val="32"/>
          <w:szCs w:val="22"/>
          <w:lang w:eastAsia="zh-CN"/>
        </w:rPr>
        <w:t>（二）集中攻坚阶段（</w:t>
      </w:r>
      <w:r>
        <w:rPr>
          <w:rFonts w:hint="eastAsia" w:ascii="Times New Roman" w:hAnsi="Times New Roman" w:eastAsia="方正楷体_GBK" w:cstheme="minorBidi"/>
          <w:snapToGrid/>
          <w:color w:val="auto"/>
          <w:kern w:val="2"/>
          <w:sz w:val="32"/>
          <w:szCs w:val="22"/>
          <w:lang w:eastAsia="zh-CN"/>
        </w:rPr>
        <w:t>7</w:t>
      </w:r>
      <w:r>
        <w:rPr>
          <w:rFonts w:hint="eastAsia" w:ascii="方正楷体_GBK" w:hAnsi="Times New Roman" w:eastAsia="方正楷体_GBK" w:cstheme="minorBidi"/>
          <w:snapToGrid/>
          <w:color w:val="auto"/>
          <w:kern w:val="2"/>
          <w:sz w:val="32"/>
          <w:szCs w:val="22"/>
          <w:lang w:eastAsia="zh-CN"/>
        </w:rPr>
        <w:t>月</w:t>
      </w:r>
      <w:r>
        <w:rPr>
          <w:rFonts w:hint="eastAsia" w:ascii="Times New Roman" w:hAnsi="Times New Roman" w:eastAsia="方正楷体_GBK" w:cstheme="minorBidi"/>
          <w:snapToGrid/>
          <w:color w:val="auto"/>
          <w:kern w:val="2"/>
          <w:sz w:val="32"/>
          <w:szCs w:val="22"/>
          <w:lang w:eastAsia="zh-CN"/>
        </w:rPr>
        <w:t>31</w:t>
      </w:r>
      <w:r>
        <w:rPr>
          <w:rFonts w:hint="eastAsia" w:ascii="方正楷体_GBK" w:hAnsi="Times New Roman" w:eastAsia="方正楷体_GBK" w:cstheme="minorBidi"/>
          <w:snapToGrid/>
          <w:color w:val="auto"/>
          <w:kern w:val="2"/>
          <w:sz w:val="32"/>
          <w:szCs w:val="22"/>
          <w:lang w:eastAsia="zh-CN"/>
        </w:rPr>
        <w:t>日至</w:t>
      </w:r>
      <w:r>
        <w:rPr>
          <w:rFonts w:hint="eastAsia" w:ascii="Times New Roman" w:hAnsi="Times New Roman" w:eastAsia="方正楷体_GBK" w:cstheme="minorBidi"/>
          <w:snapToGrid/>
          <w:color w:val="auto"/>
          <w:kern w:val="2"/>
          <w:sz w:val="32"/>
          <w:szCs w:val="22"/>
          <w:lang w:eastAsia="zh-CN"/>
        </w:rPr>
        <w:t>10</w:t>
      </w:r>
      <w:r>
        <w:rPr>
          <w:rFonts w:hint="eastAsia" w:ascii="方正楷体_GBK" w:hAnsi="Times New Roman" w:eastAsia="方正楷体_GBK" w:cstheme="minorBidi"/>
          <w:snapToGrid/>
          <w:color w:val="auto"/>
          <w:kern w:val="2"/>
          <w:sz w:val="32"/>
          <w:szCs w:val="22"/>
          <w:lang w:eastAsia="zh-CN"/>
        </w:rPr>
        <w:t>月</w:t>
      </w:r>
      <w:r>
        <w:rPr>
          <w:rFonts w:hint="eastAsia" w:ascii="Times New Roman" w:hAnsi="Times New Roman" w:eastAsia="方正楷体_GBK" w:cstheme="minorBidi"/>
          <w:snapToGrid/>
          <w:color w:val="auto"/>
          <w:kern w:val="2"/>
          <w:sz w:val="32"/>
          <w:szCs w:val="22"/>
          <w:lang w:eastAsia="zh-CN"/>
        </w:rPr>
        <w:t>25</w:t>
      </w:r>
      <w:r>
        <w:rPr>
          <w:rFonts w:hint="eastAsia" w:ascii="方正楷体_GBK" w:hAnsi="Times New Roman" w:eastAsia="方正楷体_GBK" w:cstheme="minorBidi"/>
          <w:snapToGrid/>
          <w:color w:val="auto"/>
          <w:kern w:val="2"/>
          <w:sz w:val="32"/>
          <w:szCs w:val="22"/>
          <w:lang w:eastAsia="zh-CN"/>
        </w:rPr>
        <w:t>日）</w:t>
      </w:r>
    </w:p>
    <w:p w14:paraId="68EAAF73">
      <w:pPr>
        <w:spacing w:line="579" w:lineRule="exact"/>
        <w:ind w:firstLine="640" w:firstLineChars="200"/>
        <w:rPr>
          <w:rFonts w:ascii="方正仿宋_GBK"/>
          <w:szCs w:val="32"/>
        </w:rPr>
      </w:pPr>
      <w:r>
        <w:rPr>
          <w:rFonts w:hint="eastAsia" w:ascii="方正仿宋_GBK"/>
          <w:szCs w:val="32"/>
        </w:rPr>
        <w:t>全面落实各项重点任务，集中力量开展隐患排查、宣传教育、火源管控等工作，建立问题台账，动态销号管理。</w:t>
      </w:r>
    </w:p>
    <w:p w14:paraId="1CEB4713">
      <w:pPr>
        <w:spacing w:line="579" w:lineRule="exact"/>
        <w:ind w:firstLine="640" w:firstLineChars="200"/>
        <w:rPr>
          <w:rFonts w:ascii="方正楷体_GBK" w:eastAsia="方正楷体_GBK"/>
        </w:rPr>
      </w:pPr>
      <w:r>
        <w:rPr>
          <w:rFonts w:hint="eastAsia" w:ascii="方正楷体_GBK" w:eastAsia="方正楷体_GBK"/>
        </w:rPr>
        <w:t>（三）巩固提升阶段（</w:t>
      </w:r>
      <w:r>
        <w:rPr>
          <w:rFonts w:hint="eastAsia" w:eastAsia="方正楷体_GBK"/>
        </w:rPr>
        <w:t>10</w:t>
      </w:r>
      <w:r>
        <w:rPr>
          <w:rFonts w:hint="eastAsia" w:ascii="方正楷体_GBK" w:eastAsia="方正楷体_GBK"/>
        </w:rPr>
        <w:t>月</w:t>
      </w:r>
      <w:r>
        <w:rPr>
          <w:rFonts w:hint="eastAsia" w:eastAsia="方正楷体_GBK"/>
        </w:rPr>
        <w:t>26</w:t>
      </w:r>
      <w:r>
        <w:rPr>
          <w:rFonts w:hint="eastAsia" w:ascii="方正楷体_GBK" w:eastAsia="方正楷体_GBK"/>
        </w:rPr>
        <w:t>日至</w:t>
      </w:r>
      <w:r>
        <w:rPr>
          <w:rFonts w:hint="eastAsia" w:eastAsia="方正楷体_GBK"/>
        </w:rPr>
        <w:t>31</w:t>
      </w:r>
      <w:r>
        <w:rPr>
          <w:rFonts w:hint="eastAsia" w:ascii="方正楷体_GBK" w:eastAsia="方正楷体_GBK"/>
        </w:rPr>
        <w:t>日）</w:t>
      </w:r>
    </w:p>
    <w:p w14:paraId="564796DF">
      <w:pPr>
        <w:spacing w:line="579" w:lineRule="exact"/>
        <w:ind w:firstLine="640" w:firstLineChars="200"/>
        <w:rPr>
          <w:rFonts w:ascii="方正仿宋_GBK"/>
          <w:szCs w:val="32"/>
        </w:rPr>
      </w:pPr>
      <w:r>
        <w:rPr>
          <w:rFonts w:hint="eastAsia" w:ascii="方正仿宋_GBK"/>
          <w:szCs w:val="32"/>
        </w:rPr>
        <w:t>认真总结评估各项工作推进情况。</w:t>
      </w:r>
    </w:p>
    <w:p w14:paraId="2A7D24BE">
      <w:pPr>
        <w:spacing w:line="579" w:lineRule="exact"/>
        <w:ind w:firstLine="640" w:firstLineChars="200"/>
        <w:rPr>
          <w:rFonts w:ascii="方正黑体_GBK" w:eastAsia="方正黑体_GBK"/>
        </w:rPr>
      </w:pPr>
      <w:r>
        <w:rPr>
          <w:rFonts w:hint="eastAsia" w:ascii="方正黑体_GBK" w:eastAsia="方正黑体_GBK"/>
        </w:rPr>
        <w:t>四、具体工作措施：</w:t>
      </w:r>
    </w:p>
    <w:p w14:paraId="109845C2">
      <w:pPr>
        <w:spacing w:line="579" w:lineRule="exact"/>
        <w:ind w:firstLine="640" w:firstLineChars="200"/>
        <w:rPr>
          <w:rFonts w:ascii="方正楷体_GBK" w:eastAsia="方正楷体_GBK"/>
        </w:rPr>
      </w:pPr>
      <w:r>
        <w:rPr>
          <w:rFonts w:hint="eastAsia" w:ascii="方正楷体_GBK" w:eastAsia="方正楷体_GBK"/>
        </w:rPr>
        <w:t>（一）强化网格管理。</w:t>
      </w:r>
    </w:p>
    <w:p w14:paraId="4157EEFF">
      <w:pPr>
        <w:spacing w:line="579" w:lineRule="exact"/>
        <w:ind w:firstLine="640" w:firstLineChars="200"/>
        <w:rPr>
          <w:rFonts w:ascii="方正仿宋_GBK"/>
          <w:szCs w:val="32"/>
        </w:rPr>
      </w:pPr>
      <w:r>
        <w:rPr>
          <w:rFonts w:hint="eastAsia" w:ascii="方正仿宋_GBK"/>
          <w:szCs w:val="32"/>
        </w:rPr>
        <w:t>村（社区）级：一是完善“一长三员”网，确保森林防火网格护林员配备率常年保持</w:t>
      </w:r>
      <w:r>
        <w:rPr>
          <w:szCs w:val="32"/>
        </w:rPr>
        <w:t>100</w:t>
      </w:r>
      <w:r>
        <w:rPr>
          <w:rFonts w:ascii="方正仿宋_GBK"/>
          <w:szCs w:val="32"/>
        </w:rPr>
        <w:t>%</w:t>
      </w:r>
      <w:r>
        <w:rPr>
          <w:rFonts w:hint="eastAsia" w:ascii="方正仿宋_GBK"/>
          <w:szCs w:val="32"/>
        </w:rPr>
        <w:t>，加强业务培训，切实履行巡林守卡、宣传教育、火情报告处理以及协助火案调查等职责；二是完善森林防火“十户联防”网格，及时优化调整联防体设置，在党、团员和青年志愿者中选拔联防组长，加强培训管理，强化联防组长宣传、监督、组织责任，发挥联防户遵守、报告、参与作用。</w:t>
      </w:r>
    </w:p>
    <w:p w14:paraId="453F02C2">
      <w:pPr>
        <w:spacing w:line="579" w:lineRule="exact"/>
        <w:ind w:firstLine="640" w:firstLineChars="200"/>
        <w:rPr>
          <w:rFonts w:ascii="方正仿宋_GBK"/>
          <w:szCs w:val="32"/>
        </w:rPr>
      </w:pPr>
      <w:r>
        <w:rPr>
          <w:rFonts w:hint="eastAsia" w:ascii="方正仿宋_GBK"/>
          <w:szCs w:val="32"/>
        </w:rPr>
        <w:t>街道级：一是完善林长网格，落实林长包片（村）要求，督促各级林长履行森林防火责任，定期听取攻坚行动汇报，安排部署森林火灾防治工作，深入林区巡林</w:t>
      </w:r>
      <w:bookmarkStart w:id="22" w:name="_GoBack"/>
      <w:bookmarkEnd w:id="22"/>
      <w:r>
        <w:rPr>
          <w:rFonts w:hint="eastAsia" w:ascii="方正仿宋_GBK"/>
          <w:szCs w:val="32"/>
        </w:rPr>
        <w:t>检查，调度推动各项工作落实，其中森林火险橙色、红色预警期间做到每日调度或巡林检查；二是强化调度作用，组织重点成员单位召开会议，联合检查督查等工作。</w:t>
      </w:r>
    </w:p>
    <w:p w14:paraId="2D7E63E9">
      <w:pPr>
        <w:spacing w:line="579" w:lineRule="exact"/>
        <w:ind w:firstLine="640" w:firstLineChars="200"/>
        <w:rPr>
          <w:rFonts w:ascii="方正楷体_GBK" w:eastAsia="方正楷体_GBK"/>
        </w:rPr>
      </w:pPr>
      <w:r>
        <w:rPr>
          <w:rFonts w:hint="eastAsia" w:ascii="方正楷体_GBK" w:eastAsia="方正楷体_GBK"/>
        </w:rPr>
        <w:t>（二）强化宣传教育</w:t>
      </w:r>
    </w:p>
    <w:p w14:paraId="3E1D9814">
      <w:pPr>
        <w:spacing w:line="579" w:lineRule="exact"/>
        <w:ind w:firstLine="640" w:firstLineChars="200"/>
        <w:rPr>
          <w:rFonts w:ascii="方正仿宋_GBK"/>
          <w:szCs w:val="32"/>
        </w:rPr>
      </w:pPr>
      <w:r>
        <w:rPr>
          <w:rFonts w:hint="eastAsia" w:ascii="方正仿宋_GBK"/>
          <w:szCs w:val="32"/>
        </w:rPr>
        <w:t>加强宣传筑牢群防群治思想根基。一是利用广播、微信群、惠民电影、宣传车等多形式开展防火宣传教育活动，深入进林区、景区、社区、学校和家庭开展“五进”活动，突出留守老人、小孩、精神病患、智力障碍和外出返乡人员、游客等重点人员宣传，营造人人知晓、全民参与的良好氛围。二是依据森林草原防灭火条例，制作通俗易懂的防火宣传资料，全面宣传防火相关常识和法律法规，曝光违规野外用火典型案例。三是对成效突出的森林防火“十户联防体”进行物资补助，调动群众参与防火积极性。四是落实有奖举报机制，按照全市、全区百日攻坚行动要求，积极动员群众举报各类隐患，及时核实线索、兑现奖励。五是将森林火灾防治纳入“守护青山”志愿服务系列活动，鼓励志愿者积极参与巡山守卡、宣传教育、隐患排查以及火源管控等森林火灾防治工作。六是加强违规野外用火、森林火灾隐患和森林火情火灾等网络舆情监测，及时发现核实，主动回应关切。</w:t>
      </w:r>
    </w:p>
    <w:p w14:paraId="05EA7608">
      <w:pPr>
        <w:spacing w:line="579" w:lineRule="exact"/>
        <w:ind w:firstLine="640" w:firstLineChars="200"/>
        <w:rPr>
          <w:rFonts w:ascii="方正楷体_GBK" w:eastAsia="方正楷体_GBK"/>
        </w:rPr>
      </w:pPr>
      <w:r>
        <w:rPr>
          <w:rFonts w:hint="eastAsia" w:ascii="方正楷体_GBK" w:eastAsia="方正楷体_GBK"/>
        </w:rPr>
        <w:t>（三）强化隐患排查</w:t>
      </w:r>
    </w:p>
    <w:p w14:paraId="674D11B5">
      <w:pPr>
        <w:spacing w:line="579" w:lineRule="exact"/>
        <w:ind w:firstLine="640" w:firstLineChars="200"/>
        <w:rPr>
          <w:rFonts w:ascii="方正仿宋_GBK"/>
          <w:szCs w:val="32"/>
        </w:rPr>
      </w:pPr>
      <w:r>
        <w:rPr>
          <w:rFonts w:hint="eastAsia" w:ascii="方正仿宋_GBK"/>
          <w:szCs w:val="32"/>
        </w:rPr>
        <w:t>各村（社区）：一是围绕“五个重点”（重点目标、重点部位、重点区域、重点设施、重点人群）开展森林火灾隐患排查，并分类建立台账，明确责任人、整改措施和完成时限等。二是开展 “林电共安”行动，排查整治树线矛盾、高压铁塔塔基可燃物堆积等森林火灾隐患。</w:t>
      </w:r>
    </w:p>
    <w:p w14:paraId="60C2B5C8">
      <w:pPr>
        <w:spacing w:line="579" w:lineRule="exact"/>
        <w:ind w:firstLine="640" w:firstLineChars="200"/>
        <w:rPr>
          <w:rFonts w:ascii="方正仿宋_GBK"/>
          <w:szCs w:val="32"/>
        </w:rPr>
      </w:pPr>
      <w:r>
        <w:rPr>
          <w:rFonts w:hint="eastAsia" w:ascii="方正仿宋_GBK"/>
          <w:szCs w:val="32"/>
        </w:rPr>
        <w:t>街道：</w:t>
      </w:r>
      <w:r>
        <w:rPr>
          <w:rFonts w:ascii="方正仿宋_GBK"/>
          <w:szCs w:val="32"/>
        </w:rPr>
        <w:t>加强</w:t>
      </w:r>
      <w:r>
        <w:rPr>
          <w:rFonts w:hint="eastAsia" w:ascii="方正仿宋_GBK"/>
          <w:szCs w:val="32"/>
        </w:rPr>
        <w:t>辖区</w:t>
      </w:r>
      <w:r>
        <w:rPr>
          <w:rFonts w:ascii="方正仿宋_GBK"/>
          <w:szCs w:val="32"/>
        </w:rPr>
        <w:t>防火道路运维，全面清理生物阻隔带林下可燃物，补充森林消防水池（水箱）水源，定期维护保养水泵</w:t>
      </w:r>
      <w:r>
        <w:rPr>
          <w:rFonts w:hint="eastAsia" w:ascii="方正仿宋_GBK"/>
          <w:szCs w:val="32"/>
        </w:rPr>
        <w:t>、</w:t>
      </w:r>
      <w:r>
        <w:rPr>
          <w:rFonts w:ascii="方正仿宋_GBK"/>
          <w:szCs w:val="32"/>
        </w:rPr>
        <w:t>油锯等防火物资</w:t>
      </w:r>
      <w:r>
        <w:rPr>
          <w:rFonts w:hint="eastAsia" w:ascii="方正仿宋_GBK"/>
          <w:szCs w:val="32"/>
        </w:rPr>
        <w:t>，确保物资充足完好。</w:t>
      </w:r>
    </w:p>
    <w:p w14:paraId="78D09DCE">
      <w:pPr>
        <w:spacing w:line="579" w:lineRule="exact"/>
        <w:ind w:firstLine="640" w:firstLineChars="200"/>
        <w:rPr>
          <w:rFonts w:ascii="方正楷体_GBK" w:eastAsia="方正楷体_GBK"/>
        </w:rPr>
      </w:pPr>
      <w:r>
        <w:rPr>
          <w:rFonts w:ascii="方正楷体_GBK" w:eastAsia="方正楷体_GBK"/>
        </w:rPr>
        <w:t>（四）强化火源管控</w:t>
      </w:r>
    </w:p>
    <w:p w14:paraId="1490AC26">
      <w:pPr>
        <w:spacing w:line="579" w:lineRule="exact"/>
        <w:ind w:firstLine="640" w:firstLineChars="200"/>
        <w:rPr>
          <w:rFonts w:ascii="方正仿宋_GBK"/>
          <w:szCs w:val="32"/>
        </w:rPr>
      </w:pPr>
      <w:r>
        <w:rPr>
          <w:rFonts w:hint="eastAsia" w:ascii="方正仿宋_GBK"/>
          <w:szCs w:val="32"/>
        </w:rPr>
        <w:t>全方位、全时段加强野外用火监管。</w:t>
      </w:r>
    </w:p>
    <w:p w14:paraId="1BB9159D">
      <w:pPr>
        <w:spacing w:line="579" w:lineRule="exact"/>
        <w:ind w:firstLine="640" w:firstLineChars="200"/>
        <w:rPr>
          <w:rFonts w:ascii="方正仿宋_GBK"/>
          <w:szCs w:val="32"/>
        </w:rPr>
      </w:pPr>
      <w:r>
        <w:rPr>
          <w:rFonts w:hint="eastAsia" w:ascii="方正仿宋_GBK"/>
          <w:szCs w:val="32"/>
        </w:rPr>
        <w:t>村（社区）：一是规范组织集中焚烧，连晴高温和森林火险橙色、红色预警期间禁止一切野外用火。二是鼓励森林防火“十户联防户 ”以及其他群众积极举报违规野外用火行为。</w:t>
      </w:r>
    </w:p>
    <w:p w14:paraId="35716690">
      <w:pPr>
        <w:spacing w:line="579" w:lineRule="exact"/>
        <w:ind w:firstLine="640" w:firstLineChars="200"/>
        <w:rPr>
          <w:rFonts w:ascii="方正仿宋_GBK"/>
          <w:szCs w:val="32"/>
        </w:rPr>
      </w:pPr>
      <w:r>
        <w:rPr>
          <w:rFonts w:hint="eastAsia" w:ascii="方正仿宋_GBK"/>
          <w:szCs w:val="32"/>
        </w:rPr>
        <w:t>街道：一是强化巡山守卡，督促入林人员 、车辆扫码登记，做好森林防火告知，提醒进入林区人员交出火源火种。二是加大执法查处打击力度，针对野外违规用火行为林业、公安 、农业农村 、文化旅游、执法等部门加大执法查处力度，对拒不配合防火检查和违规野外用火行为等依法依规予以顶格处罚。三是督促指导村社强化村民自治，依据村规民约约束违规野外用火行为。</w:t>
      </w:r>
    </w:p>
    <w:p w14:paraId="709F0D52">
      <w:pPr>
        <w:spacing w:line="579" w:lineRule="exact"/>
        <w:ind w:firstLine="640" w:firstLineChars="200"/>
        <w:rPr>
          <w:rFonts w:ascii="方正楷体_GBK" w:eastAsia="方正楷体_GBK"/>
        </w:rPr>
      </w:pPr>
      <w:r>
        <w:rPr>
          <w:rFonts w:hint="eastAsia" w:ascii="方正楷体_GBK" w:eastAsia="方正楷体_GBK"/>
        </w:rPr>
        <w:t>（五）强化数字赋能</w:t>
      </w:r>
    </w:p>
    <w:p w14:paraId="6C2F206C">
      <w:pPr>
        <w:spacing w:line="579" w:lineRule="exact"/>
        <w:ind w:firstLine="640" w:firstLineChars="200"/>
        <w:rPr>
          <w:rFonts w:ascii="方正仿宋_GBK"/>
          <w:szCs w:val="32"/>
        </w:rPr>
      </w:pPr>
      <w:r>
        <w:rPr>
          <w:rFonts w:hint="eastAsia" w:ascii="方正仿宋_GBK"/>
          <w:szCs w:val="32"/>
        </w:rPr>
        <w:t>村（社区）：严格落实火情处理“</w:t>
      </w:r>
      <w:r>
        <w:rPr>
          <w:szCs w:val="32"/>
        </w:rPr>
        <w:t>135</w:t>
      </w:r>
      <w:r>
        <w:rPr>
          <w:rFonts w:hint="eastAsia" w:ascii="方正仿宋_GBK"/>
          <w:szCs w:val="32"/>
        </w:rPr>
        <w:t>”工作机制， 发挥基层网格员作用。</w:t>
      </w:r>
    </w:p>
    <w:p w14:paraId="0717818F">
      <w:pPr>
        <w:spacing w:line="579" w:lineRule="exact"/>
        <w:ind w:firstLine="640" w:firstLineChars="200"/>
        <w:rPr>
          <w:rFonts w:ascii="方正仿宋_GBK"/>
          <w:szCs w:val="32"/>
        </w:rPr>
      </w:pPr>
      <w:r>
        <w:rPr>
          <w:rFonts w:hint="eastAsia" w:ascii="方正仿宋_GBK"/>
          <w:szCs w:val="32"/>
        </w:rPr>
        <w:t>街道：一是推动“智慧林长·森林防灭火 ”应用与“</w:t>
      </w:r>
      <w:r>
        <w:rPr>
          <w:szCs w:val="32"/>
        </w:rPr>
        <w:t>141</w:t>
      </w:r>
      <w:r>
        <w:rPr>
          <w:rFonts w:hint="eastAsia" w:ascii="方正仿宋_GBK"/>
          <w:szCs w:val="32"/>
        </w:rPr>
        <w:t>”基层智治体系深度融合， 接入基层治理指挥中心， 实行挂图作战和</w:t>
      </w:r>
      <w:r>
        <w:rPr>
          <w:rFonts w:hint="eastAsia"/>
          <w:szCs w:val="32"/>
        </w:rPr>
        <w:t>24</w:t>
      </w:r>
      <w:r>
        <w:rPr>
          <w:rFonts w:hint="eastAsia" w:ascii="方正仿宋_GBK"/>
          <w:szCs w:val="32"/>
        </w:rPr>
        <w:t>小时专人值守。二是依托“智慧林长·森林防灭火”应用，全量归集林区分布、植被类型、火灾隐患、基础设施、人员队伍和日常履职等数据信息，用数字监督评价各级履职情况。</w:t>
      </w:r>
    </w:p>
    <w:p w14:paraId="08E4E796">
      <w:pPr>
        <w:spacing w:line="579" w:lineRule="exact"/>
        <w:ind w:firstLine="640" w:firstLineChars="200"/>
        <w:rPr>
          <w:rFonts w:ascii="仿宋_GB2312" w:eastAsia="仿宋_GB2312"/>
          <w:spacing w:val="5"/>
          <w:szCs w:val="32"/>
        </w:rPr>
      </w:pPr>
      <w:r>
        <w:rPr>
          <w:rFonts w:ascii="方正楷体_GBK" w:eastAsia="方正楷体_GBK"/>
        </w:rPr>
        <w:t>（六）强化森林火险预警信号处置</w:t>
      </w:r>
      <w:r>
        <w:rPr>
          <w:rFonts w:hint="eastAsia" w:ascii="方正楷体_GBK" w:eastAsia="方正楷体_GBK"/>
        </w:rPr>
        <w:t>及</w:t>
      </w:r>
      <w:r>
        <w:rPr>
          <w:rFonts w:ascii="方正楷体_GBK" w:eastAsia="方正楷体_GBK"/>
        </w:rPr>
        <w:t>火情处理</w:t>
      </w:r>
    </w:p>
    <w:p w14:paraId="28761528">
      <w:pPr>
        <w:spacing w:line="579" w:lineRule="exact"/>
        <w:ind w:firstLine="640" w:firstLineChars="200"/>
        <w:rPr>
          <w:rFonts w:ascii="方正仿宋_GBK"/>
        </w:rPr>
      </w:pPr>
      <w:r>
        <w:rPr>
          <w:rFonts w:hint="eastAsia"/>
        </w:rPr>
        <w:t>1</w:t>
      </w:r>
      <w:bookmarkStart w:id="10" w:name="OLE_LINK31"/>
      <w:bookmarkStart w:id="11" w:name="OLE_LINK30"/>
      <w:bookmarkStart w:id="12" w:name="OLE_LINK7"/>
      <w:bookmarkStart w:id="13" w:name="OLE_LINK6"/>
      <w:r>
        <w:rPr>
          <w:rFonts w:hint="eastAsia" w:ascii="方正仿宋_GBK"/>
        </w:rPr>
        <w:t>.</w:t>
      </w:r>
      <w:r>
        <w:rPr>
          <w:rFonts w:ascii="方正仿宋_GBK"/>
        </w:rPr>
        <w:t>森林</w:t>
      </w:r>
      <w:bookmarkStart w:id="14" w:name="OLE_LINK26"/>
      <w:bookmarkStart w:id="15" w:name="OLE_LINK27"/>
      <w:r>
        <w:rPr>
          <w:rFonts w:ascii="方正仿宋_GBK"/>
        </w:rPr>
        <w:t>火险预警信号</w:t>
      </w:r>
      <w:bookmarkEnd w:id="10"/>
      <w:bookmarkEnd w:id="11"/>
      <w:bookmarkEnd w:id="14"/>
      <w:bookmarkEnd w:id="15"/>
      <w:r>
        <w:rPr>
          <w:rFonts w:ascii="方正仿宋_GBK"/>
        </w:rPr>
        <w:t>处置</w:t>
      </w:r>
      <w:bookmarkEnd w:id="12"/>
      <w:bookmarkEnd w:id="13"/>
      <w:r>
        <w:rPr>
          <w:rFonts w:ascii="方正仿宋_GBK"/>
        </w:rPr>
        <w:t>行动规范</w:t>
      </w:r>
    </w:p>
    <w:p w14:paraId="6C21EB2B">
      <w:pPr>
        <w:spacing w:line="579" w:lineRule="exact"/>
        <w:ind w:firstLine="640" w:firstLineChars="200"/>
        <w:rPr>
          <w:rFonts w:ascii="方正仿宋_GBK"/>
          <w:szCs w:val="32"/>
        </w:rPr>
      </w:pPr>
      <w:r>
        <w:rPr>
          <w:rFonts w:hint="eastAsia" w:ascii="方正仿宋_GBK"/>
          <w:szCs w:val="32"/>
        </w:rPr>
        <w:t>森林火险</w:t>
      </w:r>
      <w:bookmarkStart w:id="16" w:name="OLE_LINK34"/>
      <w:bookmarkStart w:id="17" w:name="OLE_LINK35"/>
      <w:r>
        <w:rPr>
          <w:rFonts w:hint="eastAsia" w:ascii="方正仿宋_GBK"/>
          <w:szCs w:val="32"/>
        </w:rPr>
        <w:t>预警信号</w:t>
      </w:r>
      <w:bookmarkEnd w:id="16"/>
      <w:bookmarkEnd w:id="17"/>
      <w:r>
        <w:rPr>
          <w:rFonts w:hint="eastAsia" w:ascii="方正仿宋_GBK"/>
          <w:szCs w:val="32"/>
        </w:rPr>
        <w:t>等级：共分四个等级，由高到低为红</w:t>
      </w:r>
      <w:bookmarkStart w:id="18" w:name="OLE_LINK32"/>
      <w:bookmarkStart w:id="19" w:name="OLE_LINK33"/>
      <w:r>
        <w:rPr>
          <w:rFonts w:hint="eastAsia" w:ascii="方正仿宋_GBK"/>
          <w:szCs w:val="32"/>
        </w:rPr>
        <w:t>色</w:t>
      </w:r>
      <w:bookmarkEnd w:id="18"/>
      <w:bookmarkEnd w:id="19"/>
      <w:r>
        <w:rPr>
          <w:rFonts w:hint="eastAsia" w:ascii="方正仿宋_GBK"/>
          <w:szCs w:val="32"/>
        </w:rPr>
        <w:t>、橙色、黄色、蓝色预警信号。</w:t>
      </w:r>
    </w:p>
    <w:p w14:paraId="1D08F509">
      <w:pPr>
        <w:spacing w:line="579" w:lineRule="exact"/>
        <w:ind w:firstLine="640" w:firstLineChars="200"/>
        <w:rPr>
          <w:rFonts w:ascii="方正仿宋_GBK"/>
          <w:szCs w:val="32"/>
        </w:rPr>
      </w:pPr>
      <w:r>
        <w:rPr>
          <w:rFonts w:hint="eastAsia" w:ascii="方正仿宋_GBK"/>
          <w:szCs w:val="32"/>
        </w:rPr>
        <w:t>（</w:t>
      </w:r>
      <w:r>
        <w:rPr>
          <w:rFonts w:hint="eastAsia"/>
          <w:szCs w:val="32"/>
        </w:rPr>
        <w:t>1</w:t>
      </w:r>
      <w:r>
        <w:rPr>
          <w:rFonts w:hint="eastAsia" w:ascii="方正仿宋_GBK"/>
          <w:szCs w:val="32"/>
        </w:rPr>
        <w:t>）</w:t>
      </w:r>
      <w:r>
        <w:rPr>
          <w:rFonts w:ascii="方正仿宋_GBK"/>
          <w:szCs w:val="32"/>
        </w:rPr>
        <w:t>蓝色/黄色预警响应（四级/三级）</w:t>
      </w:r>
    </w:p>
    <w:p w14:paraId="02975C91">
      <w:pPr>
        <w:spacing w:line="579" w:lineRule="exact"/>
        <w:ind w:firstLine="640" w:firstLineChars="200"/>
        <w:rPr>
          <w:rFonts w:ascii="方正仿宋_GBK"/>
          <w:szCs w:val="32"/>
        </w:rPr>
      </w:pPr>
      <w:r>
        <w:rPr>
          <w:rFonts w:ascii="方正仿宋_GBK"/>
          <w:szCs w:val="32"/>
        </w:rPr>
        <w:t>启动条件：危险程度低，一般不公开发布。</w:t>
      </w:r>
    </w:p>
    <w:p w14:paraId="4D61B74B">
      <w:pPr>
        <w:spacing w:line="579" w:lineRule="exact"/>
        <w:ind w:firstLine="640" w:firstLineChars="200"/>
        <w:rPr>
          <w:rFonts w:ascii="方正仿宋_GBK"/>
          <w:szCs w:val="32"/>
        </w:rPr>
      </w:pPr>
      <w:r>
        <w:rPr>
          <w:rFonts w:ascii="方正仿宋_GBK"/>
          <w:szCs w:val="32"/>
        </w:rPr>
        <w:t>村（社区）级措施：按照职责抓好日常防治工作。</w:t>
      </w:r>
    </w:p>
    <w:p w14:paraId="270A51AF">
      <w:pPr>
        <w:spacing w:line="579" w:lineRule="exact"/>
        <w:ind w:firstLine="640" w:firstLineChars="200"/>
        <w:rPr>
          <w:rFonts w:ascii="方正仿宋_GBK"/>
          <w:szCs w:val="32"/>
        </w:rPr>
      </w:pPr>
      <w:r>
        <w:rPr>
          <w:rFonts w:ascii="方正仿宋_GBK"/>
          <w:szCs w:val="32"/>
        </w:rPr>
        <w:t>街道措施：按照职责抓好日常防治工作。</w:t>
      </w:r>
    </w:p>
    <w:p w14:paraId="1CA72ABD">
      <w:pPr>
        <w:spacing w:line="579" w:lineRule="exact"/>
        <w:ind w:firstLine="640" w:firstLineChars="200"/>
        <w:rPr>
          <w:rFonts w:ascii="方正仿宋_GBK"/>
          <w:szCs w:val="32"/>
        </w:rPr>
      </w:pPr>
      <w:r>
        <w:rPr>
          <w:rFonts w:hint="eastAsia" w:ascii="方正仿宋_GBK"/>
          <w:szCs w:val="32"/>
        </w:rPr>
        <w:t>（</w:t>
      </w:r>
      <w:r>
        <w:rPr>
          <w:rFonts w:hint="eastAsia"/>
          <w:szCs w:val="32"/>
        </w:rPr>
        <w:t>2</w:t>
      </w:r>
      <w:r>
        <w:rPr>
          <w:rFonts w:hint="eastAsia" w:ascii="方正仿宋_GBK"/>
          <w:szCs w:val="32"/>
        </w:rPr>
        <w:t>）</w:t>
      </w:r>
      <w:r>
        <w:rPr>
          <w:rFonts w:ascii="方正仿宋_GBK"/>
          <w:szCs w:val="32"/>
        </w:rPr>
        <w:t>橙色/红色预警响应（二级/一级）</w:t>
      </w:r>
    </w:p>
    <w:p w14:paraId="54AD78DA">
      <w:pPr>
        <w:spacing w:line="579" w:lineRule="exact"/>
        <w:ind w:firstLine="640" w:firstLineChars="200"/>
        <w:rPr>
          <w:rFonts w:ascii="方正仿宋_GBK"/>
          <w:szCs w:val="32"/>
        </w:rPr>
      </w:pPr>
      <w:r>
        <w:rPr>
          <w:rFonts w:ascii="方正仿宋_GBK"/>
          <w:szCs w:val="32"/>
        </w:rPr>
        <w:t>启动条件：森防指及应急、林业、气象部门联合发布森林火险橙色</w:t>
      </w:r>
      <w:r>
        <w:rPr>
          <w:rFonts w:hint="eastAsia" w:ascii="方正仿宋_GBK"/>
          <w:szCs w:val="32"/>
        </w:rPr>
        <w:t>及红色</w:t>
      </w:r>
      <w:r>
        <w:rPr>
          <w:rFonts w:ascii="方正仿宋_GBK"/>
          <w:szCs w:val="32"/>
        </w:rPr>
        <w:t>预警信号。</w:t>
      </w:r>
      <w:r>
        <w:rPr>
          <w:rFonts w:hint="eastAsia" w:ascii="方正仿宋_GBK"/>
          <w:szCs w:val="32"/>
        </w:rPr>
        <w:t>发布依据主要基于气温、湿度、风力、降水及可燃物状况综合测算</w:t>
      </w:r>
    </w:p>
    <w:p w14:paraId="09F0CF70">
      <w:pPr>
        <w:spacing w:line="579" w:lineRule="exact"/>
        <w:ind w:firstLine="640" w:firstLineChars="200"/>
        <w:rPr>
          <w:rFonts w:ascii="方正仿宋_GBK"/>
          <w:szCs w:val="32"/>
        </w:rPr>
      </w:pPr>
      <w:r>
        <w:rPr>
          <w:rFonts w:ascii="方正仿宋_GBK"/>
          <w:szCs w:val="32"/>
        </w:rPr>
        <w:t>触发阈值：某一地区连续</w:t>
      </w:r>
      <w:r>
        <w:rPr>
          <w:szCs w:val="32"/>
        </w:rPr>
        <w:t>3</w:t>
      </w:r>
      <w:r>
        <w:rPr>
          <w:rFonts w:ascii="方正仿宋_GBK"/>
          <w:szCs w:val="32"/>
        </w:rPr>
        <w:t>天/</w:t>
      </w:r>
      <w:r>
        <w:rPr>
          <w:szCs w:val="32"/>
        </w:rPr>
        <w:t>5</w:t>
      </w:r>
      <w:r>
        <w:rPr>
          <w:rFonts w:ascii="方正仿宋_GBK"/>
          <w:szCs w:val="32"/>
        </w:rPr>
        <w:t>天出现</w:t>
      </w:r>
      <w:r>
        <w:rPr>
          <w:szCs w:val="32"/>
        </w:rPr>
        <w:t>4</w:t>
      </w:r>
      <w:r>
        <w:rPr>
          <w:rFonts w:ascii="方正仿宋_GBK"/>
          <w:szCs w:val="32"/>
        </w:rPr>
        <w:t>级及以上森林火险气象等级，且未来</w:t>
      </w:r>
      <w:r>
        <w:rPr>
          <w:szCs w:val="32"/>
        </w:rPr>
        <w:t>2</w:t>
      </w:r>
      <w:r>
        <w:rPr>
          <w:rFonts w:ascii="方正仿宋_GBK"/>
          <w:szCs w:val="32"/>
        </w:rPr>
        <w:t>天以上还将出现</w:t>
      </w:r>
      <w:r>
        <w:rPr>
          <w:szCs w:val="32"/>
        </w:rPr>
        <w:t>4</w:t>
      </w:r>
      <w:r>
        <w:rPr>
          <w:rFonts w:ascii="方正仿宋_GBK"/>
          <w:szCs w:val="32"/>
        </w:rPr>
        <w:t>级及以上森林火险气象等级。</w:t>
      </w:r>
    </w:p>
    <w:p w14:paraId="70A408B0">
      <w:pPr>
        <w:spacing w:line="579" w:lineRule="exact"/>
        <w:ind w:firstLine="640" w:firstLineChars="200"/>
        <w:rPr>
          <w:rFonts w:ascii="方正仿宋_GBK"/>
          <w:szCs w:val="32"/>
        </w:rPr>
      </w:pPr>
      <w:r>
        <w:rPr>
          <w:rFonts w:ascii="方正仿宋_GBK"/>
          <w:szCs w:val="32"/>
        </w:rPr>
        <w:t>识别信号：森林火险橙色/红色预警信号标识。</w:t>
      </w:r>
    </w:p>
    <w:p w14:paraId="3B75B928">
      <w:pPr>
        <w:spacing w:line="579" w:lineRule="exact"/>
        <w:ind w:firstLine="640" w:firstLineChars="200"/>
        <w:rPr>
          <w:rFonts w:ascii="方正仿宋_GBK"/>
          <w:szCs w:val="32"/>
        </w:rPr>
      </w:pPr>
      <w:r>
        <w:rPr>
          <w:rFonts w:ascii="方正仿宋_GBK"/>
          <w:szCs w:val="32"/>
        </w:rPr>
        <w:t>村（社区）级措施</w:t>
      </w:r>
      <w:r>
        <w:rPr>
          <w:rFonts w:hint="eastAsia" w:ascii="方正仿宋_GBK"/>
          <w:szCs w:val="32"/>
        </w:rPr>
        <w:t>：</w:t>
      </w:r>
    </w:p>
    <w:p w14:paraId="178802D6">
      <w:pPr>
        <w:spacing w:line="579" w:lineRule="exact"/>
        <w:ind w:firstLine="640" w:firstLineChars="200"/>
        <w:rPr>
          <w:rFonts w:ascii="方正仿宋_GBK"/>
          <w:szCs w:val="32"/>
        </w:rPr>
      </w:pPr>
      <w:r>
        <w:rPr>
          <w:rFonts w:ascii="方正仿宋_GBK"/>
          <w:szCs w:val="32"/>
        </w:rPr>
        <w:t>（</w:t>
      </w:r>
      <w:r>
        <w:rPr>
          <w:rFonts w:hint="eastAsia"/>
          <w:szCs w:val="32"/>
        </w:rPr>
        <w:t>1</w:t>
      </w:r>
      <w:r>
        <w:rPr>
          <w:rFonts w:ascii="方正仿宋_GBK"/>
          <w:szCs w:val="32"/>
        </w:rPr>
        <w:t>）橙色</w:t>
      </w:r>
      <w:r>
        <w:rPr>
          <w:rFonts w:hint="eastAsia" w:ascii="方正仿宋_GBK"/>
          <w:szCs w:val="32"/>
        </w:rPr>
        <w:t>应对</w:t>
      </w:r>
      <w:r>
        <w:rPr>
          <w:rFonts w:ascii="方正仿宋_GBK"/>
          <w:szCs w:val="32"/>
        </w:rPr>
        <w:t>措施</w:t>
      </w:r>
      <w:r>
        <w:rPr>
          <w:rFonts w:hint="eastAsia" w:ascii="方正仿宋_GBK"/>
          <w:szCs w:val="32"/>
        </w:rPr>
        <w:t>：</w:t>
      </w:r>
    </w:p>
    <w:p w14:paraId="3DD29A0C">
      <w:pPr>
        <w:spacing w:line="579" w:lineRule="exact"/>
        <w:ind w:firstLine="640" w:firstLineChars="200"/>
        <w:rPr>
          <w:rFonts w:ascii="方正仿宋_GBK"/>
          <w:szCs w:val="32"/>
        </w:rPr>
      </w:pPr>
      <w:r>
        <w:rPr>
          <w:rFonts w:ascii="方正仿宋_GBK"/>
          <w:szCs w:val="32"/>
        </w:rPr>
        <w:t>充分利用广播宣传预警信号及其响应措施；按时值守防火检查站、临时卡口，加大巡山护林、隐患排查</w:t>
      </w:r>
      <w:r>
        <w:rPr>
          <w:rFonts w:hint="eastAsia" w:ascii="方正仿宋_GBK"/>
          <w:szCs w:val="32"/>
        </w:rPr>
        <w:t>、</w:t>
      </w:r>
      <w:r>
        <w:rPr>
          <w:rFonts w:ascii="方正仿宋_GBK"/>
          <w:szCs w:val="32"/>
        </w:rPr>
        <w:t>瞭望监测</w:t>
      </w:r>
      <w:r>
        <w:rPr>
          <w:rFonts w:hint="eastAsia" w:ascii="方正仿宋_GBK"/>
          <w:szCs w:val="32"/>
        </w:rPr>
        <w:t>力度。</w:t>
      </w:r>
    </w:p>
    <w:p w14:paraId="05121858">
      <w:pPr>
        <w:spacing w:line="579" w:lineRule="exact"/>
        <w:ind w:firstLine="640" w:firstLineChars="200"/>
        <w:rPr>
          <w:rFonts w:ascii="方正仿宋_GBK"/>
          <w:szCs w:val="32"/>
        </w:rPr>
      </w:pPr>
      <w:r>
        <w:rPr>
          <w:rFonts w:ascii="方正仿宋_GBK"/>
          <w:szCs w:val="32"/>
        </w:rPr>
        <w:t>（</w:t>
      </w:r>
      <w:r>
        <w:rPr>
          <w:szCs w:val="32"/>
        </w:rPr>
        <w:t>2</w:t>
      </w:r>
      <w:r>
        <w:rPr>
          <w:rFonts w:ascii="方正仿宋_GBK"/>
          <w:szCs w:val="32"/>
        </w:rPr>
        <w:t>）红色</w:t>
      </w:r>
      <w:r>
        <w:rPr>
          <w:rFonts w:hint="eastAsia" w:ascii="方正仿宋_GBK"/>
          <w:szCs w:val="32"/>
        </w:rPr>
        <w:t>应对</w:t>
      </w:r>
      <w:r>
        <w:rPr>
          <w:rFonts w:ascii="方正仿宋_GBK"/>
          <w:szCs w:val="32"/>
        </w:rPr>
        <w:t>措施</w:t>
      </w:r>
      <w:r>
        <w:rPr>
          <w:rFonts w:hint="eastAsia" w:ascii="方正仿宋_GBK"/>
          <w:szCs w:val="32"/>
        </w:rPr>
        <w:t>：</w:t>
      </w:r>
    </w:p>
    <w:p w14:paraId="60460CE6">
      <w:pPr>
        <w:spacing w:line="579" w:lineRule="exact"/>
        <w:ind w:firstLine="640" w:firstLineChars="200"/>
        <w:rPr>
          <w:rFonts w:ascii="方正仿宋_GBK"/>
          <w:szCs w:val="32"/>
        </w:rPr>
      </w:pPr>
      <w:r>
        <w:rPr>
          <w:rFonts w:ascii="方正仿宋_GBK"/>
          <w:szCs w:val="32"/>
        </w:rPr>
        <w:t>持续加大宣传预警信号及其响应措施的频次和力度；24小时值守防火检查站、临时卡口</w:t>
      </w:r>
      <w:r>
        <w:rPr>
          <w:rFonts w:hint="eastAsia" w:ascii="方正仿宋_GBK"/>
          <w:szCs w:val="32"/>
        </w:rPr>
        <w:t>，</w:t>
      </w:r>
      <w:r>
        <w:rPr>
          <w:rFonts w:ascii="方正仿宋_GBK"/>
          <w:szCs w:val="32"/>
        </w:rPr>
        <w:t>加大巡山护林、隐患排查、</w:t>
      </w:r>
      <w:bookmarkStart w:id="20" w:name="OLE_LINK48"/>
      <w:bookmarkStart w:id="21" w:name="OLE_LINK49"/>
      <w:r>
        <w:rPr>
          <w:rFonts w:ascii="方正仿宋_GBK"/>
          <w:szCs w:val="32"/>
        </w:rPr>
        <w:t>瞭望监测</w:t>
      </w:r>
      <w:bookmarkEnd w:id="20"/>
      <w:bookmarkEnd w:id="21"/>
      <w:r>
        <w:rPr>
          <w:rFonts w:ascii="方正仿宋_GBK"/>
          <w:szCs w:val="32"/>
        </w:rPr>
        <w:t>力度。</w:t>
      </w:r>
    </w:p>
    <w:p w14:paraId="19E58633">
      <w:pPr>
        <w:spacing w:line="579" w:lineRule="exact"/>
        <w:ind w:firstLine="640" w:firstLineChars="200"/>
        <w:rPr>
          <w:rFonts w:ascii="方正仿宋_GBK"/>
          <w:szCs w:val="32"/>
        </w:rPr>
      </w:pPr>
      <w:r>
        <w:rPr>
          <w:rFonts w:ascii="方正仿宋_GBK"/>
          <w:szCs w:val="32"/>
        </w:rPr>
        <w:t>街道级措施</w:t>
      </w:r>
      <w:r>
        <w:rPr>
          <w:rFonts w:hint="eastAsia" w:ascii="方正仿宋_GBK"/>
          <w:szCs w:val="32"/>
        </w:rPr>
        <w:t>：</w:t>
      </w:r>
    </w:p>
    <w:p w14:paraId="4E15690F">
      <w:pPr>
        <w:spacing w:line="579" w:lineRule="exact"/>
        <w:ind w:firstLine="640" w:firstLineChars="200"/>
        <w:rPr>
          <w:rFonts w:ascii="方正仿宋_GBK"/>
          <w:szCs w:val="32"/>
        </w:rPr>
      </w:pPr>
      <w:r>
        <w:rPr>
          <w:rFonts w:hint="eastAsia" w:ascii="方正仿宋_GBK"/>
          <w:szCs w:val="32"/>
        </w:rPr>
        <w:t>（</w:t>
      </w:r>
      <w:r>
        <w:rPr>
          <w:rFonts w:hint="eastAsia"/>
          <w:szCs w:val="32"/>
        </w:rPr>
        <w:t>1</w:t>
      </w:r>
      <w:r>
        <w:rPr>
          <w:rFonts w:hint="eastAsia" w:ascii="方正仿宋_GBK"/>
          <w:szCs w:val="32"/>
        </w:rPr>
        <w:t>）</w:t>
      </w:r>
      <w:r>
        <w:rPr>
          <w:rFonts w:ascii="方正仿宋_GBK"/>
          <w:szCs w:val="32"/>
        </w:rPr>
        <w:t>橙色</w:t>
      </w:r>
      <w:r>
        <w:rPr>
          <w:rFonts w:hint="eastAsia" w:ascii="方正仿宋_GBK"/>
          <w:szCs w:val="32"/>
        </w:rPr>
        <w:t>应对</w:t>
      </w:r>
      <w:r>
        <w:rPr>
          <w:rFonts w:ascii="方正仿宋_GBK"/>
          <w:szCs w:val="32"/>
        </w:rPr>
        <w:t>措施。充分利用广播、网络及短信等各种方式发布和宣传预警信号及其响应措施</w:t>
      </w:r>
      <w:r>
        <w:rPr>
          <w:rFonts w:hint="eastAsia" w:ascii="方正仿宋_GBK"/>
          <w:szCs w:val="32"/>
        </w:rPr>
        <w:t>；</w:t>
      </w:r>
      <w:r>
        <w:rPr>
          <w:rFonts w:ascii="方正仿宋_GBK"/>
          <w:szCs w:val="32"/>
        </w:rPr>
        <w:t>在森林防火检查站设置相应的预警信号标识牌；充分运用新媒体、传统媒体和无人机宣传等手段，组织</w:t>
      </w:r>
      <w:r>
        <w:rPr>
          <w:rFonts w:hint="eastAsia" w:ascii="方正仿宋_GBK"/>
          <w:szCs w:val="32"/>
        </w:rPr>
        <w:t>“敲门”</w:t>
      </w:r>
      <w:r>
        <w:rPr>
          <w:rFonts w:ascii="方正仿宋_GBK"/>
          <w:szCs w:val="32"/>
        </w:rPr>
        <w:t>等行动，加大森林防火宣传频次和广度；加强野外用火管理，停止一切野外用火</w:t>
      </w:r>
      <w:r>
        <w:rPr>
          <w:rFonts w:hint="eastAsia" w:ascii="方正仿宋_GBK"/>
          <w:szCs w:val="32"/>
        </w:rPr>
        <w:t>，必要时</w:t>
      </w:r>
      <w:r>
        <w:rPr>
          <w:rFonts w:ascii="方正仿宋_GBK"/>
          <w:szCs w:val="32"/>
        </w:rPr>
        <w:t>增设林区路口临时卡口、增加巡护人员，加大巡山护林、隐患排查、瞭望监测力度，严格执行扫码入林；</w:t>
      </w:r>
      <w:r>
        <w:rPr>
          <w:rFonts w:hint="eastAsia" w:ascii="方正仿宋_GBK"/>
          <w:szCs w:val="32"/>
        </w:rPr>
        <w:t>街道</w:t>
      </w:r>
      <w:r>
        <w:rPr>
          <w:rFonts w:ascii="方正仿宋_GBK"/>
          <w:szCs w:val="32"/>
        </w:rPr>
        <w:t>综合应急救援队伍进入待命状态，快速高效处置早期火情；严格落实值班值守制度，及时掌握本辖区森林火情动态，做好火情调度处理。</w:t>
      </w:r>
    </w:p>
    <w:p w14:paraId="46AED3BE">
      <w:pPr>
        <w:spacing w:line="579" w:lineRule="exact"/>
        <w:ind w:firstLine="640" w:firstLineChars="200"/>
        <w:rPr>
          <w:rFonts w:ascii="方正仿宋_GBK"/>
          <w:szCs w:val="32"/>
        </w:rPr>
      </w:pPr>
      <w:r>
        <w:rPr>
          <w:rFonts w:hint="eastAsia" w:ascii="方正仿宋_GBK"/>
          <w:szCs w:val="32"/>
        </w:rPr>
        <w:t>（</w:t>
      </w:r>
      <w:r>
        <w:rPr>
          <w:rFonts w:hint="eastAsia"/>
          <w:szCs w:val="32"/>
        </w:rPr>
        <w:t>2</w:t>
      </w:r>
      <w:r>
        <w:rPr>
          <w:rFonts w:hint="eastAsia" w:ascii="方正仿宋_GBK"/>
          <w:szCs w:val="32"/>
        </w:rPr>
        <w:t>）</w:t>
      </w:r>
      <w:r>
        <w:rPr>
          <w:rFonts w:ascii="方正仿宋_GBK"/>
          <w:szCs w:val="32"/>
        </w:rPr>
        <w:t>红色</w:t>
      </w:r>
      <w:r>
        <w:rPr>
          <w:rFonts w:hint="eastAsia" w:ascii="方正仿宋_GBK"/>
          <w:szCs w:val="32"/>
        </w:rPr>
        <w:t>应对</w:t>
      </w:r>
      <w:r>
        <w:rPr>
          <w:rFonts w:ascii="方正仿宋_GBK"/>
          <w:szCs w:val="32"/>
        </w:rPr>
        <w:t>措施。在橙色预警响应措施基础上</w:t>
      </w:r>
      <w:r>
        <w:rPr>
          <w:rFonts w:hint="eastAsia" w:ascii="方正仿宋_GBK"/>
          <w:szCs w:val="32"/>
        </w:rPr>
        <w:t>，</w:t>
      </w:r>
      <w:r>
        <w:rPr>
          <w:rFonts w:ascii="方正仿宋_GBK"/>
          <w:szCs w:val="32"/>
        </w:rPr>
        <w:t>持续加大森林防火宣传频次和广度；严管野外火源，加大违法违规野外用火打击力度；对森林防火工作进行督导检查，重点风险部位专人值守和盯防；</w:t>
      </w:r>
      <w:r>
        <w:rPr>
          <w:rFonts w:hint="eastAsia" w:ascii="方正仿宋_GBK"/>
          <w:szCs w:val="32"/>
        </w:rPr>
        <w:t>街道</w:t>
      </w:r>
      <w:r>
        <w:rPr>
          <w:rFonts w:ascii="方正仿宋_GBK"/>
          <w:szCs w:val="32"/>
        </w:rPr>
        <w:t>综合应急救援队伍进入戒备状态，靠前驻防，加强训练，熟悉防火区山形地势，确保快速高效安全处置早期火情；森林草原防火简易和标准检查站守卡人员</w:t>
      </w:r>
      <w:r>
        <w:rPr>
          <w:szCs w:val="32"/>
        </w:rPr>
        <w:t>24</w:t>
      </w:r>
      <w:r>
        <w:rPr>
          <w:rFonts w:ascii="方正仿宋_GBK"/>
          <w:szCs w:val="32"/>
        </w:rPr>
        <w:t>小时值班值守。</w:t>
      </w:r>
    </w:p>
    <w:p w14:paraId="7BF194D4">
      <w:pPr>
        <w:spacing w:line="579" w:lineRule="exact"/>
        <w:ind w:firstLine="640" w:firstLineChars="200"/>
        <w:rPr>
          <w:rFonts w:ascii="方正仿宋_GBK"/>
        </w:rPr>
      </w:pPr>
      <w:r>
        <w:rPr>
          <w:rFonts w:hint="eastAsia"/>
        </w:rPr>
        <w:t>2</w:t>
      </w:r>
      <w:r>
        <w:rPr>
          <w:rFonts w:hint="eastAsia" w:ascii="方正仿宋_GBK"/>
        </w:rPr>
        <w:t>.</w:t>
      </w:r>
      <w:r>
        <w:rPr>
          <w:rFonts w:ascii="方正仿宋_GBK"/>
        </w:rPr>
        <w:t>及时发现并快速处置火情火灾。</w:t>
      </w:r>
    </w:p>
    <w:p w14:paraId="384DFF3C">
      <w:pPr>
        <w:spacing w:line="579" w:lineRule="exact"/>
        <w:ind w:firstLine="640" w:firstLineChars="200"/>
        <w:rPr>
          <w:rFonts w:ascii="方正仿宋_GBK"/>
          <w:szCs w:val="32"/>
        </w:rPr>
      </w:pPr>
      <w:r>
        <w:rPr>
          <w:rFonts w:hint="eastAsia" w:ascii="方正仿宋_GBK"/>
          <w:szCs w:val="32"/>
        </w:rPr>
        <w:t>一是完善涉林火情处理行动预案，并组织开展联合演练。二是严格值班值守，落实“有火必报、报扑同步 ”要求，通过电话、“渝快政突发事件直报快响”应用等报送火情信息。三是依托林火视频监控、无人机和“智慧林长·森林防灭火”应用等研判火场态势，辅助前指决策指挥。</w:t>
      </w:r>
    </w:p>
    <w:p w14:paraId="5558EFCB">
      <w:pPr>
        <w:spacing w:line="579" w:lineRule="exact"/>
        <w:ind w:left="663"/>
        <w:outlineLvl w:val="1"/>
        <w:rPr>
          <w:rFonts w:ascii="方正黑体_GBK" w:hAnsi="方正黑体_GBK" w:eastAsia="方正黑体_GBK" w:cs="方正黑体_GBK"/>
          <w:sz w:val="31"/>
          <w:szCs w:val="31"/>
        </w:rPr>
      </w:pPr>
      <w:r>
        <w:rPr>
          <w:rFonts w:hint="eastAsia" w:ascii="方正黑体_GBK" w:hAnsi="方正黑体_GBK" w:eastAsia="方正黑体_GBK" w:cs="方正黑体_GBK"/>
          <w:spacing w:val="3"/>
          <w:sz w:val="31"/>
          <w:szCs w:val="31"/>
        </w:rPr>
        <w:t>五</w:t>
      </w:r>
      <w:r>
        <w:rPr>
          <w:rFonts w:ascii="方正黑体_GBK" w:hAnsi="方正黑体_GBK" w:eastAsia="方正黑体_GBK" w:cs="方正黑体_GBK"/>
          <w:spacing w:val="3"/>
          <w:sz w:val="31"/>
          <w:szCs w:val="31"/>
        </w:rPr>
        <w:t>、工作要求</w:t>
      </w:r>
    </w:p>
    <w:p w14:paraId="0661D46E">
      <w:pPr>
        <w:pStyle w:val="2"/>
        <w:spacing w:before="184" w:line="579" w:lineRule="exact"/>
        <w:ind w:left="1" w:right="77" w:firstLine="615"/>
        <w:rPr>
          <w:rFonts w:ascii="方正楷体_GBK" w:hAnsi="Times New Roman" w:eastAsia="方正楷体_GBK" w:cstheme="minorBidi"/>
          <w:snapToGrid/>
          <w:color w:val="auto"/>
          <w:kern w:val="2"/>
          <w:sz w:val="32"/>
          <w:szCs w:val="22"/>
          <w:lang w:eastAsia="zh-CN"/>
        </w:rPr>
      </w:pPr>
      <w:r>
        <w:rPr>
          <w:rFonts w:ascii="方正楷体_GBK" w:hAnsi="Times New Roman" w:eastAsia="方正楷体_GBK" w:cstheme="minorBidi"/>
          <w:snapToGrid/>
          <w:color w:val="auto"/>
          <w:kern w:val="2"/>
          <w:sz w:val="32"/>
          <w:szCs w:val="22"/>
          <w:lang w:eastAsia="zh-CN"/>
        </w:rPr>
        <w:t>（一）加强组织领导。</w:t>
      </w:r>
    </w:p>
    <w:p w14:paraId="372184D1">
      <w:pPr>
        <w:spacing w:line="579" w:lineRule="exact"/>
        <w:ind w:firstLine="640" w:firstLineChars="200"/>
        <w:rPr>
          <w:rFonts w:ascii="方正仿宋_GBK"/>
          <w:szCs w:val="32"/>
        </w:rPr>
      </w:pPr>
      <w:r>
        <w:rPr>
          <w:rFonts w:hint="eastAsia" w:ascii="方正仿宋_GBK"/>
          <w:szCs w:val="32"/>
        </w:rPr>
        <w:t>街道各部门及各村（居）</w:t>
      </w:r>
      <w:r>
        <w:rPr>
          <w:rFonts w:ascii="方正仿宋_GBK"/>
          <w:szCs w:val="32"/>
        </w:rPr>
        <w:t>单位要提高政治站位，清醒认识当前森林防火工作面临的严峻形势，树牢</w:t>
      </w:r>
      <w:r>
        <w:rPr>
          <w:rFonts w:hint="eastAsia" w:ascii="方正仿宋_GBK"/>
          <w:szCs w:val="32"/>
        </w:rPr>
        <w:t>“</w:t>
      </w:r>
      <w:r>
        <w:rPr>
          <w:rFonts w:ascii="方正仿宋_GBK"/>
          <w:szCs w:val="32"/>
        </w:rPr>
        <w:t>四个宁可</w:t>
      </w:r>
      <w:r>
        <w:rPr>
          <w:rFonts w:hint="eastAsia" w:ascii="方正仿宋_GBK"/>
          <w:szCs w:val="32"/>
        </w:rPr>
        <w:t>”</w:t>
      </w:r>
      <w:r>
        <w:rPr>
          <w:rFonts w:ascii="方正仿宋_GBK"/>
          <w:szCs w:val="32"/>
        </w:rPr>
        <w:t>意识，把开展攻坚行动作为夏季森林火灾防治工作的重中之重， 打好主动战。</w:t>
      </w:r>
    </w:p>
    <w:p w14:paraId="6AA05F03">
      <w:pPr>
        <w:pStyle w:val="2"/>
        <w:spacing w:before="21" w:line="579" w:lineRule="exact"/>
        <w:ind w:left="5" w:right="77" w:firstLine="611"/>
        <w:rPr>
          <w:rFonts w:ascii="方正楷体_GBK" w:hAnsi="Times New Roman" w:eastAsia="方正楷体_GBK" w:cstheme="minorBidi"/>
          <w:snapToGrid/>
          <w:color w:val="auto"/>
          <w:kern w:val="2"/>
          <w:sz w:val="32"/>
          <w:szCs w:val="22"/>
          <w:lang w:eastAsia="zh-CN"/>
        </w:rPr>
      </w:pPr>
      <w:r>
        <w:rPr>
          <w:rFonts w:ascii="方正楷体_GBK" w:hAnsi="Times New Roman" w:eastAsia="方正楷体_GBK" w:cstheme="minorBidi"/>
          <w:snapToGrid/>
          <w:color w:val="auto"/>
          <w:kern w:val="2"/>
          <w:sz w:val="32"/>
          <w:szCs w:val="22"/>
          <w:lang w:eastAsia="zh-CN"/>
        </w:rPr>
        <w:t>（二）广泛宣传教育</w:t>
      </w:r>
      <w:r>
        <w:rPr>
          <w:rFonts w:hint="eastAsia" w:ascii="方正楷体_GBK" w:hAnsi="Times New Roman" w:eastAsia="方正楷体_GBK" w:cstheme="minorBidi"/>
          <w:snapToGrid/>
          <w:color w:val="auto"/>
          <w:kern w:val="2"/>
          <w:sz w:val="32"/>
          <w:szCs w:val="22"/>
          <w:lang w:eastAsia="zh-CN"/>
        </w:rPr>
        <w:t>。</w:t>
      </w:r>
    </w:p>
    <w:p w14:paraId="59101200">
      <w:pPr>
        <w:spacing w:line="579" w:lineRule="exact"/>
        <w:ind w:firstLine="640" w:firstLineChars="200"/>
        <w:rPr>
          <w:rFonts w:ascii="方正仿宋_GBK"/>
          <w:szCs w:val="32"/>
        </w:rPr>
      </w:pPr>
      <w:r>
        <w:rPr>
          <w:rFonts w:ascii="方正仿宋_GBK"/>
          <w:szCs w:val="32"/>
        </w:rPr>
        <w:t>要充分利用各类媒体和宣传载体，广泛宣传攻坚行动，发动林区经营单位和广大群众积极参与，主动排查整治火险隐患， 自觉遵守森林防火制度，营造群防群治的浓厚氛围。</w:t>
      </w:r>
    </w:p>
    <w:p w14:paraId="787DA04C">
      <w:pPr>
        <w:pStyle w:val="2"/>
        <w:spacing w:before="25" w:line="579" w:lineRule="exact"/>
        <w:ind w:left="11" w:firstLine="605"/>
        <w:rPr>
          <w:rFonts w:ascii="方正楷体_GBK" w:hAnsi="Times New Roman" w:eastAsia="方正楷体_GBK" w:cstheme="minorBidi"/>
          <w:snapToGrid/>
          <w:color w:val="auto"/>
          <w:kern w:val="2"/>
          <w:sz w:val="32"/>
          <w:szCs w:val="22"/>
          <w:lang w:eastAsia="zh-CN"/>
        </w:rPr>
      </w:pPr>
      <w:r>
        <w:rPr>
          <w:rFonts w:ascii="方正楷体_GBK" w:hAnsi="Times New Roman" w:eastAsia="方正楷体_GBK" w:cstheme="minorBidi"/>
          <w:snapToGrid/>
          <w:color w:val="auto"/>
          <w:kern w:val="2"/>
          <w:sz w:val="32"/>
          <w:szCs w:val="22"/>
          <w:lang w:eastAsia="zh-CN"/>
        </w:rPr>
        <w:t>（三）强化督导检查。</w:t>
      </w:r>
    </w:p>
    <w:p w14:paraId="0B711E1B">
      <w:pPr>
        <w:spacing w:line="579" w:lineRule="exact"/>
        <w:ind w:firstLine="640" w:firstLineChars="200"/>
        <w:rPr>
          <w:rFonts w:ascii="方正仿宋_GBK"/>
          <w:szCs w:val="32"/>
        </w:rPr>
      </w:pPr>
      <w:r>
        <w:rPr>
          <w:rFonts w:ascii="方正仿宋_GBK"/>
          <w:szCs w:val="32"/>
        </w:rPr>
        <w:t>要常态开展督导检查，对组织领导不力、工作进展缓慢、成效不显著的</w:t>
      </w:r>
      <w:r>
        <w:rPr>
          <w:rFonts w:hint="eastAsia" w:ascii="方正仿宋_GBK"/>
          <w:szCs w:val="32"/>
        </w:rPr>
        <w:t>，</w:t>
      </w:r>
      <w:r>
        <w:rPr>
          <w:rFonts w:ascii="方正仿宋_GBK"/>
          <w:szCs w:val="32"/>
        </w:rPr>
        <w:t>提请</w:t>
      </w:r>
      <w:r>
        <w:rPr>
          <w:rFonts w:hint="eastAsia" w:ascii="方正仿宋_GBK"/>
          <w:szCs w:val="32"/>
        </w:rPr>
        <w:t>党工委</w:t>
      </w:r>
      <w:r>
        <w:rPr>
          <w:rFonts w:ascii="方正仿宋_GBK"/>
          <w:szCs w:val="32"/>
        </w:rPr>
        <w:t>予以通报、约谈；对因工作不力引发森林火灾火情的严肃问责。</w:t>
      </w:r>
    </w:p>
    <w:p w14:paraId="55873B51">
      <w:pPr>
        <w:pStyle w:val="2"/>
        <w:spacing w:before="5" w:line="579" w:lineRule="exact"/>
        <w:ind w:right="77" w:firstLine="616"/>
        <w:rPr>
          <w:rFonts w:ascii="方正楷体_GBK" w:hAnsi="Times New Roman" w:eastAsia="方正楷体_GBK" w:cstheme="minorBidi"/>
          <w:snapToGrid/>
          <w:color w:val="auto"/>
          <w:kern w:val="2"/>
          <w:sz w:val="32"/>
          <w:szCs w:val="22"/>
          <w:lang w:eastAsia="zh-CN"/>
        </w:rPr>
      </w:pPr>
      <w:r>
        <w:rPr>
          <w:rFonts w:ascii="方正楷体_GBK" w:hAnsi="Times New Roman" w:eastAsia="方正楷体_GBK" w:cstheme="minorBidi"/>
          <w:snapToGrid/>
          <w:color w:val="auto"/>
          <w:kern w:val="2"/>
          <w:sz w:val="32"/>
          <w:szCs w:val="22"/>
          <w:lang w:eastAsia="zh-CN"/>
        </w:rPr>
        <w:t>（四）建立信息报送制度。</w:t>
      </w:r>
    </w:p>
    <w:p w14:paraId="4D0D6890">
      <w:pPr>
        <w:spacing w:line="579" w:lineRule="exact"/>
        <w:ind w:firstLine="640" w:firstLineChars="200"/>
        <w:rPr>
          <w:rFonts w:ascii="方正仿宋_GBK"/>
          <w:szCs w:val="32"/>
        </w:rPr>
      </w:pPr>
      <w:r>
        <w:rPr>
          <w:rFonts w:ascii="方正仿宋_GBK"/>
          <w:szCs w:val="32"/>
        </w:rPr>
        <w:t>要及时总结报送攻坚行动的经验做法</w:t>
      </w:r>
      <w:r>
        <w:rPr>
          <w:rFonts w:hint="eastAsia" w:ascii="方正仿宋_GBK"/>
          <w:szCs w:val="32"/>
        </w:rPr>
        <w:t>、</w:t>
      </w:r>
      <w:r>
        <w:rPr>
          <w:rFonts w:ascii="方正仿宋_GBK"/>
          <w:szCs w:val="32"/>
        </w:rPr>
        <w:t>工作成效</w:t>
      </w:r>
      <w:r>
        <w:rPr>
          <w:rFonts w:hint="eastAsia" w:ascii="方正仿宋_GBK"/>
          <w:szCs w:val="32"/>
        </w:rPr>
        <w:t>、</w:t>
      </w:r>
      <w:r>
        <w:rPr>
          <w:rFonts w:ascii="方正仿宋_GBK"/>
          <w:szCs w:val="32"/>
        </w:rPr>
        <w:t>问题建议及工作台账</w:t>
      </w:r>
      <w:r>
        <w:rPr>
          <w:rFonts w:hint="eastAsia" w:ascii="方正仿宋_GBK"/>
          <w:szCs w:val="32"/>
        </w:rPr>
        <w:t>。</w:t>
      </w:r>
      <w:r>
        <w:rPr>
          <w:rFonts w:ascii="方正仿宋_GBK"/>
          <w:szCs w:val="32"/>
        </w:rPr>
        <w:t>重大事项和典型经验随时报送，确保信息畅通。</w:t>
      </w:r>
    </w:p>
    <w:p w14:paraId="695D85C4">
      <w:pPr>
        <w:spacing w:line="579" w:lineRule="exact"/>
        <w:ind w:firstLine="640" w:firstLineChars="200"/>
        <w:rPr>
          <w:rFonts w:ascii="方正仿宋_GBK"/>
          <w:szCs w:val="32"/>
        </w:rPr>
      </w:pPr>
    </w:p>
    <w:p w14:paraId="128F0608">
      <w:pPr>
        <w:spacing w:line="579" w:lineRule="exact"/>
        <w:rPr>
          <w:rFonts w:ascii="方正仿宋_GBK"/>
        </w:rPr>
      </w:pPr>
    </w:p>
    <w:p w14:paraId="3679EAE1">
      <w:pPr>
        <w:spacing w:line="579" w:lineRule="exact"/>
        <w:rPr>
          <w:rFonts w:ascii="方正仿宋_GBK"/>
        </w:rPr>
      </w:pPr>
    </w:p>
    <w:p w14:paraId="7FF29AA5">
      <w:pPr>
        <w:overflowPunct w:val="0"/>
        <w:topLinePunct/>
        <w:spacing w:line="579" w:lineRule="exact"/>
        <w:ind w:firstLine="5120" w:firstLineChars="1600"/>
      </w:pPr>
    </w:p>
    <w:sectPr>
      <w:footerReference r:id="rId7" w:type="first"/>
      <w:headerReference r:id="rId3" w:type="default"/>
      <w:footerReference r:id="rId5" w:type="default"/>
      <w:headerReference r:id="rId4" w:type="even"/>
      <w:footerReference r:id="rId6" w:type="even"/>
      <w:pgSz w:w="11907" w:h="16840"/>
      <w:pgMar w:top="2098" w:right="1531" w:bottom="1985" w:left="1531" w:header="851" w:footer="1417" w:gutter="0"/>
      <w:pgNumType w:fmt="numberInDash"/>
      <w:cols w:space="720" w:num="1"/>
      <w:docGrid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汉仪方隶简">
    <w:altName w:val="宋体"/>
    <w:panose1 w:val="00000000000000000000"/>
    <w:charset w:val="86"/>
    <w:family w:val="auto"/>
    <w:pitch w:val="default"/>
    <w:sig w:usb0="00000000" w:usb1="00000000" w:usb2="00000002"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8BFB3">
    <w:pPr>
      <w:pStyle w:val="3"/>
      <w:ind w:right="360" w:firstLine="360"/>
    </w:pPr>
    <w:r>
      <mc:AlternateContent>
        <mc:Choice Requires="wps">
          <w:drawing>
            <wp:anchor distT="0" distB="0" distL="114300" distR="114300" simplePos="0" relativeHeight="251662336" behindDoc="0" locked="0" layoutInCell="1" allowOverlap="1">
              <wp:simplePos x="0" y="0"/>
              <wp:positionH relativeFrom="margin">
                <wp:posOffset>5095240</wp:posOffset>
              </wp:positionH>
              <wp:positionV relativeFrom="paragraph">
                <wp:posOffset>-213995</wp:posOffset>
              </wp:positionV>
              <wp:extent cx="513080" cy="17716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3080" cy="177165"/>
                      </a:xfrm>
                      <a:prstGeom prst="rect">
                        <a:avLst/>
                      </a:prstGeom>
                      <a:noFill/>
                      <a:ln w="6350">
                        <a:noFill/>
                      </a:ln>
                      <a:effectLst/>
                    </wps:spPr>
                    <wps:txbx>
                      <w:txbxContent>
                        <w:p w14:paraId="17002E8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01.2pt;margin-top:-16.85pt;height:13.95pt;width:40.4pt;mso-position-horizontal-relative:margin;z-index:251662336;mso-width-relative:page;mso-height-relative:page;" filled="f" stroked="f" coordsize="21600,21600" o:gfxdata="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EPIWjZAAAACgEAAA8AAAAAAAAAAQAgAAAAIgAAAGRy&#10;cy9kb3ducmV2LnhtbFBLAQIUABQAAAAIAIdO4kBUPyMmPQIAAHEEAAAOAAAAAAAAAAEAIAAAACgB&#10;AABkcnMvZTJvRG9jLnhtbFBLBQYAAAAABgAGAFkBAADXBQAAAAA=&#10;">
              <v:fill on="f" focussize="0,0"/>
              <v:stroke on="f" weight="0.5pt"/>
              <v:imagedata o:title=""/>
              <o:lock v:ext="edit" aspectratio="f"/>
              <v:textbox inset="0mm,0mm,0mm,0mm">
                <w:txbxContent>
                  <w:p w14:paraId="17002E8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5080B">
    <w:pPr>
      <w:pStyle w:val="3"/>
      <w:ind w:right="360" w:firstLine="360"/>
    </w:pPr>
    <w:r>
      <mc:AlternateContent>
        <mc:Choice Requires="wps">
          <w:drawing>
            <wp:anchor distT="0" distB="0" distL="114300" distR="114300" simplePos="0" relativeHeight="251663360" behindDoc="0" locked="0" layoutInCell="1" allowOverlap="1">
              <wp:simplePos x="0" y="0"/>
              <wp:positionH relativeFrom="margin">
                <wp:posOffset>-16510</wp:posOffset>
              </wp:positionH>
              <wp:positionV relativeFrom="paragraph">
                <wp:posOffset>-226695</wp:posOffset>
              </wp:positionV>
              <wp:extent cx="741045" cy="22415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741045" cy="224155"/>
                      </a:xfrm>
                      <a:prstGeom prst="rect">
                        <a:avLst/>
                      </a:prstGeom>
                      <a:noFill/>
                      <a:ln w="6350">
                        <a:noFill/>
                      </a:ln>
                      <a:effectLst/>
                    </wps:spPr>
                    <wps:txbx>
                      <w:txbxContent>
                        <w:p w14:paraId="4156977B">
                          <w:pPr>
                            <w:pStyle w:val="3"/>
                            <w:ind w:left="320" w:leftChars="100"/>
                            <w:rPr>
                              <w:rFonts w:ascii="方正仿宋_GBK" w:hAnsi="方正仿宋_GBK" w:cs="方正仿宋_GBK"/>
                              <w:sz w:val="28"/>
                              <w:szCs w:val="28"/>
                            </w:rPr>
                          </w:pPr>
                          <w:r>
                            <w:rPr>
                              <w:rFonts w:hint="eastAsia" w:ascii="方正仿宋_GBK" w:hAnsi="方正仿宋_GBK" w:cs="方正仿宋_GBK"/>
                              <w:sz w:val="28"/>
                              <w:szCs w:val="28"/>
                            </w:rPr>
                            <w:fldChar w:fldCharType="begin"/>
                          </w:r>
                          <w:r>
                            <w:rPr>
                              <w:rFonts w:hint="eastAsia" w:ascii="方正仿宋_GBK" w:hAnsi="方正仿宋_GBK" w:cs="方正仿宋_GBK"/>
                              <w:sz w:val="28"/>
                              <w:szCs w:val="28"/>
                            </w:rPr>
                            <w:instrText xml:space="preserve"> PAGE  \* MERGEFORMAT </w:instrText>
                          </w:r>
                          <w:r>
                            <w:rPr>
                              <w:rFonts w:hint="eastAsia" w:ascii="方正仿宋_GBK" w:hAnsi="方正仿宋_GBK" w:cs="方正仿宋_GBK"/>
                              <w:sz w:val="28"/>
                              <w:szCs w:val="28"/>
                            </w:rPr>
                            <w:fldChar w:fldCharType="separate"/>
                          </w:r>
                          <w:r>
                            <w:rPr>
                              <w:rFonts w:ascii="方正仿宋_GBK" w:hAnsi="方正仿宋_GBK" w:cs="方正仿宋_GBK"/>
                              <w:sz w:val="28"/>
                              <w:szCs w:val="28"/>
                            </w:rPr>
                            <w:t>- 8 -</w:t>
                          </w:r>
                          <w:r>
                            <w:rPr>
                              <w:rFonts w:hint="eastAsia" w:ascii="方正仿宋_GBK" w:hAnsi="方正仿宋_GBK" w:cs="方正仿宋_GBK"/>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3pt;margin-top:-17.85pt;height:17.65pt;width:58.35pt;mso-position-horizontal-relative:margin;z-index:251663360;mso-width-relative:page;mso-height-relative:page;" filled="f" stroked="f" coordsize="21600,21600" o:gfxdata="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49Q8ItcAAAAIAQAADwAAAAAAAAABACAAAAAiAAAAZHJz&#10;L2Rvd25yZXYueG1sUEsBAhQAFAAAAAgAh07iQC+oRG0+AgAAcQQAAA4AAAAAAAAAAQAgAAAAJgEA&#10;AGRycy9lMm9Eb2MueG1sUEsFBgAAAAAGAAYAWQEAANYFAAAAAA==&#10;">
              <v:fill on="f" focussize="0,0"/>
              <v:stroke on="f" weight="0.5pt"/>
              <v:imagedata o:title=""/>
              <o:lock v:ext="edit" aspectratio="f"/>
              <v:textbox inset="0mm,0mm,0mm,0mm">
                <w:txbxContent>
                  <w:p w14:paraId="4156977B">
                    <w:pPr>
                      <w:pStyle w:val="3"/>
                      <w:ind w:left="320" w:leftChars="100"/>
                      <w:rPr>
                        <w:rFonts w:ascii="方正仿宋_GBK" w:hAnsi="方正仿宋_GBK" w:cs="方正仿宋_GBK"/>
                        <w:sz w:val="28"/>
                        <w:szCs w:val="28"/>
                      </w:rPr>
                    </w:pPr>
                    <w:r>
                      <w:rPr>
                        <w:rFonts w:hint="eastAsia" w:ascii="方正仿宋_GBK" w:hAnsi="方正仿宋_GBK" w:cs="方正仿宋_GBK"/>
                        <w:sz w:val="28"/>
                        <w:szCs w:val="28"/>
                      </w:rPr>
                      <w:fldChar w:fldCharType="begin"/>
                    </w:r>
                    <w:r>
                      <w:rPr>
                        <w:rFonts w:hint="eastAsia" w:ascii="方正仿宋_GBK" w:hAnsi="方正仿宋_GBK" w:cs="方正仿宋_GBK"/>
                        <w:sz w:val="28"/>
                        <w:szCs w:val="28"/>
                      </w:rPr>
                      <w:instrText xml:space="preserve"> PAGE  \* MERGEFORMAT </w:instrText>
                    </w:r>
                    <w:r>
                      <w:rPr>
                        <w:rFonts w:hint="eastAsia" w:ascii="方正仿宋_GBK" w:hAnsi="方正仿宋_GBK" w:cs="方正仿宋_GBK"/>
                        <w:sz w:val="28"/>
                        <w:szCs w:val="28"/>
                      </w:rPr>
                      <w:fldChar w:fldCharType="separate"/>
                    </w:r>
                    <w:r>
                      <w:rPr>
                        <w:rFonts w:ascii="方正仿宋_GBK" w:hAnsi="方正仿宋_GBK" w:cs="方正仿宋_GBK"/>
                        <w:sz w:val="28"/>
                        <w:szCs w:val="28"/>
                      </w:rPr>
                      <w:t>- 8 -</w:t>
                    </w:r>
                    <w:r>
                      <w:rPr>
                        <w:rFonts w:hint="eastAsia" w:ascii="方正仿宋_GBK" w:hAnsi="方正仿宋_GBK" w:cs="方正仿宋_GBK"/>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9450C">
    <w:pPr>
      <w:pStyle w:val="3"/>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F48D03">
                          <w:pPr>
                            <w:pStyle w:val="3"/>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1EF48D03">
                    <w:pPr>
                      <w:pStyle w:val="3"/>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A330E">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5189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evenAndOddHeaders w:val="1"/>
  <w:drawingGridHorizontalSpacing w:val="316"/>
  <w:drawingGridVerticalSpacing w:val="29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7E41FCDC-7F99-433D-85F8-0F55FBB7861C}" w:val="gK/wncVRPk2XpyDeifLd7z6uvSxOljGFrETC84UJ10HQ9NZotam3MAsI5qWbh+B=Y"/>
    <w:docVar w:name="DocumentID" w:val="{54BC673C-F286-419C-9744-C8A8F8F73792}"/>
  </w:docVars>
  <w:rsids>
    <w:rsidRoot w:val="007E348B"/>
    <w:rsid w:val="000155FD"/>
    <w:rsid w:val="00031530"/>
    <w:rsid w:val="00052A4A"/>
    <w:rsid w:val="000622E8"/>
    <w:rsid w:val="00072DD6"/>
    <w:rsid w:val="00087CC5"/>
    <w:rsid w:val="000B2E15"/>
    <w:rsid w:val="000B410E"/>
    <w:rsid w:val="000D4876"/>
    <w:rsid w:val="000F0F50"/>
    <w:rsid w:val="00103D8A"/>
    <w:rsid w:val="0011193B"/>
    <w:rsid w:val="00122857"/>
    <w:rsid w:val="001230CF"/>
    <w:rsid w:val="001467C9"/>
    <w:rsid w:val="00155665"/>
    <w:rsid w:val="001643F5"/>
    <w:rsid w:val="00165D3B"/>
    <w:rsid w:val="001843B6"/>
    <w:rsid w:val="00196197"/>
    <w:rsid w:val="001A106B"/>
    <w:rsid w:val="001B6D81"/>
    <w:rsid w:val="001C62AF"/>
    <w:rsid w:val="00202714"/>
    <w:rsid w:val="00224798"/>
    <w:rsid w:val="00251099"/>
    <w:rsid w:val="00264212"/>
    <w:rsid w:val="00270632"/>
    <w:rsid w:val="00281D42"/>
    <w:rsid w:val="0029235A"/>
    <w:rsid w:val="002A5B1B"/>
    <w:rsid w:val="002B6D9C"/>
    <w:rsid w:val="002C2573"/>
    <w:rsid w:val="002E07E5"/>
    <w:rsid w:val="00334714"/>
    <w:rsid w:val="00375AA6"/>
    <w:rsid w:val="00375C4C"/>
    <w:rsid w:val="00382E8C"/>
    <w:rsid w:val="003844B0"/>
    <w:rsid w:val="00395FC2"/>
    <w:rsid w:val="003A0E69"/>
    <w:rsid w:val="003A182B"/>
    <w:rsid w:val="003B0A22"/>
    <w:rsid w:val="003B6668"/>
    <w:rsid w:val="003E6BFF"/>
    <w:rsid w:val="003F4DC3"/>
    <w:rsid w:val="003F6F4F"/>
    <w:rsid w:val="0041034E"/>
    <w:rsid w:val="00450863"/>
    <w:rsid w:val="004707D1"/>
    <w:rsid w:val="00473062"/>
    <w:rsid w:val="00484450"/>
    <w:rsid w:val="004A2AA0"/>
    <w:rsid w:val="005114CE"/>
    <w:rsid w:val="005404CE"/>
    <w:rsid w:val="0054400E"/>
    <w:rsid w:val="00554B9E"/>
    <w:rsid w:val="00566286"/>
    <w:rsid w:val="00586223"/>
    <w:rsid w:val="005F2ED2"/>
    <w:rsid w:val="005F5973"/>
    <w:rsid w:val="005F6586"/>
    <w:rsid w:val="00600936"/>
    <w:rsid w:val="0061524E"/>
    <w:rsid w:val="006379D3"/>
    <w:rsid w:val="00676D1A"/>
    <w:rsid w:val="006901A9"/>
    <w:rsid w:val="006A199F"/>
    <w:rsid w:val="006A5C6B"/>
    <w:rsid w:val="006A7D0D"/>
    <w:rsid w:val="006C2BDE"/>
    <w:rsid w:val="006C48D6"/>
    <w:rsid w:val="006C5F8E"/>
    <w:rsid w:val="006E4F3D"/>
    <w:rsid w:val="006F7611"/>
    <w:rsid w:val="007238C3"/>
    <w:rsid w:val="00727AB8"/>
    <w:rsid w:val="007406B8"/>
    <w:rsid w:val="007472F6"/>
    <w:rsid w:val="0075001C"/>
    <w:rsid w:val="00774707"/>
    <w:rsid w:val="007B5805"/>
    <w:rsid w:val="007B6D94"/>
    <w:rsid w:val="007E348B"/>
    <w:rsid w:val="00817DF0"/>
    <w:rsid w:val="00831379"/>
    <w:rsid w:val="00847F64"/>
    <w:rsid w:val="008776E4"/>
    <w:rsid w:val="008805BB"/>
    <w:rsid w:val="0089449C"/>
    <w:rsid w:val="008A13D9"/>
    <w:rsid w:val="008B006F"/>
    <w:rsid w:val="008D3D02"/>
    <w:rsid w:val="008E62FE"/>
    <w:rsid w:val="008F1EBD"/>
    <w:rsid w:val="00901BE6"/>
    <w:rsid w:val="00907572"/>
    <w:rsid w:val="00920050"/>
    <w:rsid w:val="00972CAC"/>
    <w:rsid w:val="0099546B"/>
    <w:rsid w:val="00996B5F"/>
    <w:rsid w:val="009C1EDB"/>
    <w:rsid w:val="009C383C"/>
    <w:rsid w:val="009E5BCE"/>
    <w:rsid w:val="009E63E3"/>
    <w:rsid w:val="009F4ED8"/>
    <w:rsid w:val="00A11D4C"/>
    <w:rsid w:val="00A2485A"/>
    <w:rsid w:val="00A6015A"/>
    <w:rsid w:val="00A62A8E"/>
    <w:rsid w:val="00A67FAF"/>
    <w:rsid w:val="00A76137"/>
    <w:rsid w:val="00A832D7"/>
    <w:rsid w:val="00AD25BB"/>
    <w:rsid w:val="00AD3CD8"/>
    <w:rsid w:val="00AF227B"/>
    <w:rsid w:val="00AF5D15"/>
    <w:rsid w:val="00B04273"/>
    <w:rsid w:val="00B1399B"/>
    <w:rsid w:val="00B42EEC"/>
    <w:rsid w:val="00B459BF"/>
    <w:rsid w:val="00B80E29"/>
    <w:rsid w:val="00B84730"/>
    <w:rsid w:val="00B97260"/>
    <w:rsid w:val="00BA757E"/>
    <w:rsid w:val="00BC72C2"/>
    <w:rsid w:val="00BD3206"/>
    <w:rsid w:val="00BF3C01"/>
    <w:rsid w:val="00C0235A"/>
    <w:rsid w:val="00C82390"/>
    <w:rsid w:val="00C8598E"/>
    <w:rsid w:val="00CA0D20"/>
    <w:rsid w:val="00CB542F"/>
    <w:rsid w:val="00CC1A8D"/>
    <w:rsid w:val="00CD63DB"/>
    <w:rsid w:val="00D0285C"/>
    <w:rsid w:val="00D063C0"/>
    <w:rsid w:val="00D20716"/>
    <w:rsid w:val="00D20725"/>
    <w:rsid w:val="00D35CD1"/>
    <w:rsid w:val="00D50FF1"/>
    <w:rsid w:val="00D820E6"/>
    <w:rsid w:val="00DA08AB"/>
    <w:rsid w:val="00DA12BD"/>
    <w:rsid w:val="00DA1A4F"/>
    <w:rsid w:val="00DA50DA"/>
    <w:rsid w:val="00DB3868"/>
    <w:rsid w:val="00DB6BA4"/>
    <w:rsid w:val="00DC01AB"/>
    <w:rsid w:val="00DC72AB"/>
    <w:rsid w:val="00DD57E3"/>
    <w:rsid w:val="00DE6886"/>
    <w:rsid w:val="00DF345F"/>
    <w:rsid w:val="00E019CF"/>
    <w:rsid w:val="00E420A1"/>
    <w:rsid w:val="00E51936"/>
    <w:rsid w:val="00E65FA9"/>
    <w:rsid w:val="00E823D7"/>
    <w:rsid w:val="00E84FD3"/>
    <w:rsid w:val="00E927E8"/>
    <w:rsid w:val="00EB28D1"/>
    <w:rsid w:val="00EE7F60"/>
    <w:rsid w:val="00EF059A"/>
    <w:rsid w:val="00EF1DBA"/>
    <w:rsid w:val="00EF40B6"/>
    <w:rsid w:val="00F11752"/>
    <w:rsid w:val="00F125D1"/>
    <w:rsid w:val="00F2496C"/>
    <w:rsid w:val="00F27787"/>
    <w:rsid w:val="00F77F1F"/>
    <w:rsid w:val="00F84B65"/>
    <w:rsid w:val="00FA63F8"/>
    <w:rsid w:val="00FB32B4"/>
    <w:rsid w:val="00FB7873"/>
    <w:rsid w:val="00FC3B5F"/>
    <w:rsid w:val="00FD07E6"/>
    <w:rsid w:val="00FF00B7"/>
    <w:rsid w:val="00FF4630"/>
    <w:rsid w:val="00FF68A4"/>
    <w:rsid w:val="093652F8"/>
    <w:rsid w:val="09EF6A49"/>
    <w:rsid w:val="0CEB70DA"/>
    <w:rsid w:val="0DC757D0"/>
    <w:rsid w:val="17D06FE1"/>
    <w:rsid w:val="1A491CD0"/>
    <w:rsid w:val="1BC65D5F"/>
    <w:rsid w:val="1BE27024"/>
    <w:rsid w:val="1FB96E0D"/>
    <w:rsid w:val="23FA2F52"/>
    <w:rsid w:val="275341C0"/>
    <w:rsid w:val="294D204F"/>
    <w:rsid w:val="29B4051E"/>
    <w:rsid w:val="322B20D0"/>
    <w:rsid w:val="34A96A64"/>
    <w:rsid w:val="3AC0143A"/>
    <w:rsid w:val="3D1F7D73"/>
    <w:rsid w:val="416B09A6"/>
    <w:rsid w:val="44721315"/>
    <w:rsid w:val="44BE6CA2"/>
    <w:rsid w:val="47492011"/>
    <w:rsid w:val="477B7F47"/>
    <w:rsid w:val="480C25C7"/>
    <w:rsid w:val="4A5B1180"/>
    <w:rsid w:val="4C591387"/>
    <w:rsid w:val="4CEC18C2"/>
    <w:rsid w:val="4D1568B6"/>
    <w:rsid w:val="4F200CDD"/>
    <w:rsid w:val="530E3233"/>
    <w:rsid w:val="55F31A1D"/>
    <w:rsid w:val="585C5C61"/>
    <w:rsid w:val="5C82434A"/>
    <w:rsid w:val="5EE97F01"/>
    <w:rsid w:val="63DE2186"/>
    <w:rsid w:val="64150215"/>
    <w:rsid w:val="648F10CA"/>
    <w:rsid w:val="6BA52F62"/>
    <w:rsid w:val="6EB14235"/>
    <w:rsid w:val="74C86521"/>
    <w:rsid w:val="75805240"/>
    <w:rsid w:val="76484E1E"/>
    <w:rsid w:val="77BE78DC"/>
    <w:rsid w:val="7B020CDD"/>
    <w:rsid w:val="7BDE0C48"/>
    <w:rsid w:val="7BE2184C"/>
    <w:rsid w:val="7E704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pPr>
      <w:widowControl/>
      <w:kinsoku w:val="0"/>
      <w:autoSpaceDE w:val="0"/>
      <w:autoSpaceDN w:val="0"/>
      <w:adjustRightInd w:val="0"/>
      <w:snapToGrid w:val="0"/>
      <w:jc w:val="left"/>
      <w:textAlignment w:val="baseline"/>
    </w:pPr>
    <w:rPr>
      <w:rFonts w:ascii="方正仿宋_GBK" w:hAnsi="方正仿宋_GBK" w:cs="方正仿宋_GBK"/>
      <w:snapToGrid w:val="0"/>
      <w:color w:val="000000"/>
      <w:kern w:val="0"/>
      <w:sz w:val="31"/>
      <w:szCs w:val="31"/>
      <w:lang w:eastAsia="en-US"/>
    </w:rPr>
  </w:style>
  <w:style w:type="paragraph" w:styleId="3">
    <w:name w:val="footer"/>
    <w:basedOn w:val="1"/>
    <w:qFormat/>
    <w:uiPriority w:val="0"/>
    <w:pPr>
      <w:tabs>
        <w:tab w:val="center" w:pos="4153"/>
        <w:tab w:val="right" w:pos="8306"/>
      </w:tabs>
      <w:snapToGrid w:val="0"/>
      <w:jc w:val="left"/>
    </w:pPr>
    <w:rPr>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5">
    <w:name w:val="Body Text 2"/>
    <w:basedOn w:val="1"/>
    <w:qFormat/>
    <w:uiPriority w:val="0"/>
    <w:pPr>
      <w:spacing w:line="600" w:lineRule="exact"/>
      <w:jc w:val="center"/>
    </w:pPr>
    <w:rPr>
      <w:rFonts w:ascii="方正仿宋_GBK"/>
      <w:szCs w:val="32"/>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Char Char Char1 Char Char Char Char Char Char Char Char Char Char"/>
    <w:basedOn w:val="1"/>
    <w:semiHidden/>
    <w:qFormat/>
    <w:uiPriority w:val="0"/>
    <w:pPr>
      <w:adjustRightInd w:val="0"/>
      <w:snapToGrid w:val="0"/>
      <w:spacing w:line="360" w:lineRule="auto"/>
      <w:ind w:firstLine="200" w:firstLineChars="200"/>
    </w:pPr>
    <w:rPr>
      <w:rFonts w:ascii="宋体" w:hAnsi="宋体" w:eastAsia="宋体" w:cs="宋体"/>
      <w:sz w:val="24"/>
      <w:szCs w:val="26"/>
    </w:rPr>
  </w:style>
  <w:style w:type="paragraph" w:customStyle="1" w:styleId="14">
    <w:name w:val="Char4 Char Char Char"/>
    <w:basedOn w:val="1"/>
    <w:qFormat/>
    <w:uiPriority w:val="0"/>
    <w:pPr>
      <w:adjustRightInd w:val="0"/>
      <w:snapToGrid w:val="0"/>
      <w:spacing w:line="360" w:lineRule="auto"/>
      <w:ind w:firstLine="20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550</Words>
  <Characters>3140</Characters>
  <Lines>26</Lines>
  <Paragraphs>7</Paragraphs>
  <TotalTime>0</TotalTime>
  <ScaleCrop>false</ScaleCrop>
  <LinksUpToDate>false</LinksUpToDate>
  <CharactersWithSpaces>3683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2012-12-04T01:34:00Z</dcterms:created>
  <dc:creator>张微峰</dc:creator>
  <cp:lastModifiedBy>Administrator</cp:lastModifiedBy>
  <cp:lastPrinted>2026-08-19T01:30:00Z</cp:lastPrinted>
  <dcterms:modified xsi:type="dcterms:W3CDTF">2026-09-03T10:24:39Z</dcterms:modified>
  <dc:title>涪府发〔2012〕号</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eyJoZGlkIjoiYzBjYTViNmJlYmM2ZmY2NmNlYThjYjQwOTg1MWVhZWQifQ==</vt:lpwstr>
  </property>
  <property fmtid="{D5CDD505-2E9C-101B-9397-08002B2CF9AE}" pid="3" name="KSOProductBuildVer">
    <vt:lpwstr>2052-12.1.0.28043</vt:lpwstr>
  </property>
  <property fmtid="{D5CDD505-2E9C-101B-9397-08002B2CF9AE}" pid="4" name="ICV">
    <vt:lpwstr>F1664DF739AE4A61A802A00AF5E5FB42_13</vt:lpwstr>
  </property>
</Properties>
</file>